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89DB" w14:textId="77777777" w:rsidR="00C8152F" w:rsidRDefault="000B266D" w:rsidP="00C8152F">
      <w:pPr>
        <w:widowControl w:val="0"/>
        <w:autoSpaceDE w:val="0"/>
        <w:autoSpaceDN w:val="0"/>
        <w:jc w:val="center"/>
        <w:rPr>
          <w:rFonts w:eastAsia="Calibri" w:cs="Microsoft Sans Serif"/>
          <w:b/>
          <w:bCs/>
          <w:color w:val="1A3E6F"/>
          <w:sz w:val="40"/>
          <w:szCs w:val="40"/>
          <w:lang w:bidi="en-US"/>
        </w:rPr>
      </w:pPr>
      <w:r w:rsidRPr="00C8152F">
        <w:rPr>
          <w:lang w:bidi="en-US"/>
        </w:rPr>
        <w:t xml:space="preserve"> </w:t>
      </w:r>
      <w:bookmarkStart w:id="0" w:name="Insurance"/>
      <w:r w:rsidR="00C8152F" w:rsidRPr="00002F64">
        <w:rPr>
          <w:rFonts w:ascii="Calibri" w:eastAsia="Calibri" w:hAnsi="Calibri" w:cs="Calibri"/>
          <w:b/>
          <w:bCs/>
          <w:noProof/>
          <w:sz w:val="72"/>
          <w:szCs w:val="72"/>
          <w:lang w:bidi="en-US"/>
        </w:rPr>
        <w:drawing>
          <wp:anchor distT="0" distB="0" distL="114300" distR="114300" simplePos="0" relativeHeight="251659264" behindDoc="0" locked="0" layoutInCell="1" allowOverlap="1" wp14:anchorId="2380A2C9" wp14:editId="18F1BDE2">
            <wp:simplePos x="0" y="0"/>
            <wp:positionH relativeFrom="margin">
              <wp:align>left</wp:align>
            </wp:positionH>
            <wp:positionV relativeFrom="margin">
              <wp:align>top</wp:align>
            </wp:positionV>
            <wp:extent cx="1516760" cy="597654"/>
            <wp:effectExtent l="0" t="0" r="7620" b="0"/>
            <wp:wrapNone/>
            <wp:docPr id="1"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C8152F" w:rsidRPr="00782FE7">
        <w:rPr>
          <w:rFonts w:eastAsia="Calibri" w:cs="Microsoft Sans Serif"/>
          <w:b/>
          <w:bCs/>
          <w:color w:val="1A3E6F"/>
          <w:sz w:val="40"/>
          <w:szCs w:val="40"/>
          <w:lang w:bidi="en-US"/>
        </w:rPr>
        <w:t xml:space="preserve">INSURANCE </w:t>
      </w:r>
    </w:p>
    <w:p w14:paraId="24BF5CB2" w14:textId="77777777" w:rsidR="00C8152F" w:rsidRPr="00782FE7" w:rsidRDefault="00C8152F" w:rsidP="00C8152F">
      <w:pPr>
        <w:widowControl w:val="0"/>
        <w:autoSpaceDE w:val="0"/>
        <w:autoSpaceDN w:val="0"/>
        <w:jc w:val="center"/>
        <w:rPr>
          <w:rFonts w:eastAsia="Calibri" w:cs="Microsoft Sans Serif"/>
          <w:b/>
          <w:bCs/>
          <w:color w:val="1A3E6F"/>
          <w:sz w:val="40"/>
          <w:szCs w:val="40"/>
          <w:lang w:bidi="en-US"/>
        </w:rPr>
      </w:pPr>
      <w:r w:rsidRPr="00782FE7">
        <w:rPr>
          <w:rFonts w:eastAsia="Calibri" w:cs="Microsoft Sans Serif"/>
          <w:b/>
          <w:bCs/>
          <w:color w:val="1A3E6F"/>
          <w:sz w:val="40"/>
          <w:szCs w:val="40"/>
          <w:lang w:bidi="en-US"/>
        </w:rPr>
        <w:t>&amp; BONDING</w:t>
      </w:r>
    </w:p>
    <w:bookmarkEnd w:id="0"/>
    <w:p w14:paraId="5C53CCBD" w14:textId="77777777" w:rsidR="00C8152F" w:rsidRPr="00782FE7" w:rsidRDefault="00C8152F" w:rsidP="00C8152F">
      <w:pPr>
        <w:widowControl w:val="0"/>
        <w:autoSpaceDE w:val="0"/>
        <w:autoSpaceDN w:val="0"/>
        <w:jc w:val="both"/>
        <w:rPr>
          <w:rFonts w:eastAsia="Calibri" w:cs="Microsoft Sans Serif"/>
          <w:lang w:bidi="en-US"/>
        </w:rPr>
      </w:pPr>
      <w:r w:rsidRPr="00782FE7">
        <w:rPr>
          <w:rFonts w:eastAsia="Calibri" w:cs="Microsoft Sans Serif"/>
          <w:color w:val="000000" w:themeColor="text1"/>
          <w:lang w:bidi="en-US"/>
        </w:rPr>
        <w:t xml:space="preserve">Operating a PTA unit is much like running a small business. Businesses have insurance to protect their investments. </w:t>
      </w:r>
      <w:r w:rsidRPr="00782FE7">
        <w:rPr>
          <w:rFonts w:eastAsia="Calibri" w:cs="Microsoft Sans Serif"/>
          <w:lang w:bidi="en-US"/>
        </w:rPr>
        <w:t xml:space="preserve">LAPTA strongly encourages PTAs to obtain adequate insurance protection against liability and monetary loss due to fraud, embezzlement, or dishonest acts. </w:t>
      </w:r>
      <w:r w:rsidRPr="00782FE7">
        <w:rPr>
          <w:rFonts w:eastAsia="Calibri" w:cs="Microsoft Sans Serif"/>
          <w:color w:val="000000" w:themeColor="text1"/>
          <w:lang w:bidi="en-US"/>
        </w:rPr>
        <w:t xml:space="preserve">Purchase insurance coverage from a company such as Association Insurance Management (AIM), a company that offers coverage to PTAs and other non-profits at a reasonable price. AIM policies run annually from October to September. For more information, contact </w:t>
      </w:r>
      <w:r w:rsidRPr="00782FE7">
        <w:rPr>
          <w:rFonts w:eastAsia="Calibri" w:cs="Microsoft Sans Serif"/>
          <w:b/>
          <w:bCs/>
          <w:color w:val="000000" w:themeColor="text1"/>
          <w:lang w:bidi="en-US"/>
        </w:rPr>
        <w:t>AIM at (800) 876-4044 or AIM-companies.com</w:t>
      </w:r>
      <w:r w:rsidRPr="00782FE7">
        <w:rPr>
          <w:rFonts w:eastAsia="Calibri" w:cs="Microsoft Sans Serif"/>
          <w:color w:val="000000" w:themeColor="text1"/>
          <w:lang w:bidi="en-US"/>
        </w:rPr>
        <w:t xml:space="preserve">. </w:t>
      </w:r>
      <w:r w:rsidRPr="00782FE7">
        <w:rPr>
          <w:rFonts w:eastAsia="Calibri" w:cs="Microsoft Sans Serif"/>
          <w:lang w:bidi="en-US"/>
        </w:rPr>
        <w:t xml:space="preserve">AIM offers several types of coverage listed below. </w:t>
      </w:r>
    </w:p>
    <w:p w14:paraId="15E251B8" w14:textId="77777777" w:rsidR="00C8152F" w:rsidRPr="00782FE7" w:rsidRDefault="00C8152F" w:rsidP="00C8152F">
      <w:pPr>
        <w:widowControl w:val="0"/>
        <w:autoSpaceDE w:val="0"/>
        <w:autoSpaceDN w:val="0"/>
        <w:jc w:val="both"/>
        <w:rPr>
          <w:rFonts w:eastAsia="Calibri" w:cs="Microsoft Sans Serif"/>
          <w:lang w:bidi="en-US"/>
        </w:rPr>
      </w:pPr>
    </w:p>
    <w:p w14:paraId="2665B844" w14:textId="77777777" w:rsidR="00C8152F" w:rsidRPr="00782FE7" w:rsidRDefault="00C8152F" w:rsidP="00C8152F">
      <w:pPr>
        <w:widowControl w:val="0"/>
        <w:autoSpaceDE w:val="0"/>
        <w:autoSpaceDN w:val="0"/>
        <w:jc w:val="both"/>
        <w:rPr>
          <w:rFonts w:eastAsia="Calibri" w:cs="Microsoft Sans Serif"/>
          <w:b/>
          <w:bCs/>
          <w:lang w:bidi="en-US"/>
        </w:rPr>
        <w:sectPr w:rsidR="00C8152F" w:rsidRPr="00782FE7" w:rsidSect="00E32186">
          <w:type w:val="continuous"/>
          <w:pgSz w:w="12240" w:h="15840"/>
          <w:pgMar w:top="720" w:right="720" w:bottom="720" w:left="720" w:header="0" w:footer="720" w:gutter="0"/>
          <w:cols w:space="720"/>
          <w:docGrid w:linePitch="299"/>
        </w:sectPr>
      </w:pPr>
    </w:p>
    <w:p w14:paraId="275AD9ED" w14:textId="77777777" w:rsidR="00C8152F" w:rsidRPr="00782FE7" w:rsidRDefault="00C8152F" w:rsidP="00C8152F">
      <w:pPr>
        <w:widowControl w:val="0"/>
        <w:autoSpaceDE w:val="0"/>
        <w:autoSpaceDN w:val="0"/>
        <w:rPr>
          <w:rFonts w:eastAsia="Calibri" w:cs="Microsoft Sans Serif"/>
          <w:b/>
          <w:bCs/>
          <w:lang w:bidi="en-US"/>
        </w:rPr>
      </w:pPr>
      <w:r w:rsidRPr="00782FE7">
        <w:rPr>
          <w:rFonts w:eastAsia="Calibri" w:cs="Microsoft Sans Serif"/>
          <w:b/>
          <w:bCs/>
          <w:lang w:bidi="en-US"/>
        </w:rPr>
        <w:t>Event/General Liability Coverage</w:t>
      </w:r>
    </w:p>
    <w:p w14:paraId="63672F0A" w14:textId="77777777" w:rsidR="00C8152F" w:rsidRPr="00782FE7" w:rsidRDefault="00C8152F" w:rsidP="00C8152F">
      <w:pPr>
        <w:widowControl w:val="0"/>
        <w:numPr>
          <w:ilvl w:val="0"/>
          <w:numId w:val="21"/>
        </w:numPr>
        <w:autoSpaceDE w:val="0"/>
        <w:autoSpaceDN w:val="0"/>
        <w:ind w:left="180" w:hanging="180"/>
        <w:rPr>
          <w:rFonts w:eastAsia="Calibri" w:cs="Microsoft Sans Serif"/>
          <w:lang w:bidi="en-US"/>
        </w:rPr>
      </w:pPr>
      <w:r w:rsidRPr="00782FE7">
        <w:rPr>
          <w:rFonts w:eastAsia="Calibri" w:cs="Microsoft Sans Serif"/>
          <w:lang w:bidi="en-US"/>
        </w:rPr>
        <w:t>$1,000,000 or $2,000,000 liability coverage per occurrence (no deductible)</w:t>
      </w:r>
    </w:p>
    <w:p w14:paraId="08847997" w14:textId="77777777" w:rsidR="00C8152F" w:rsidRPr="00782FE7" w:rsidRDefault="00C8152F" w:rsidP="00C8152F">
      <w:pPr>
        <w:widowControl w:val="0"/>
        <w:numPr>
          <w:ilvl w:val="0"/>
          <w:numId w:val="21"/>
        </w:numPr>
        <w:autoSpaceDE w:val="0"/>
        <w:autoSpaceDN w:val="0"/>
        <w:ind w:left="180" w:hanging="180"/>
        <w:rPr>
          <w:rFonts w:eastAsia="Calibri" w:cs="Microsoft Sans Serif"/>
          <w:lang w:bidi="en-US"/>
        </w:rPr>
      </w:pPr>
      <w:r w:rsidRPr="00782FE7">
        <w:rPr>
          <w:rFonts w:eastAsia="Calibri" w:cs="Microsoft Sans Serif"/>
          <w:lang w:bidi="en-US"/>
        </w:rPr>
        <w:t>$5,000 per person medical payment (no deductible)</w:t>
      </w:r>
    </w:p>
    <w:p w14:paraId="5D3938FF" w14:textId="77777777" w:rsidR="00C8152F" w:rsidRPr="00782FE7" w:rsidRDefault="00C8152F" w:rsidP="00C8152F">
      <w:pPr>
        <w:widowControl w:val="0"/>
        <w:numPr>
          <w:ilvl w:val="0"/>
          <w:numId w:val="21"/>
        </w:numPr>
        <w:autoSpaceDE w:val="0"/>
        <w:autoSpaceDN w:val="0"/>
        <w:ind w:left="180" w:hanging="180"/>
        <w:rPr>
          <w:rFonts w:eastAsia="Calibri" w:cs="Microsoft Sans Serif"/>
          <w:lang w:bidi="en-US"/>
        </w:rPr>
      </w:pPr>
      <w:r w:rsidRPr="00782FE7">
        <w:rPr>
          <w:rFonts w:eastAsia="Calibri" w:cs="Microsoft Sans Serif"/>
          <w:lang w:bidi="en-US"/>
        </w:rPr>
        <w:t>Option for increased medical payments: $10,000, $25,000, and $50,000</w:t>
      </w:r>
    </w:p>
    <w:p w14:paraId="774C6FBE" w14:textId="77777777" w:rsidR="00C8152F" w:rsidRPr="00782FE7" w:rsidRDefault="00C8152F" w:rsidP="00C8152F">
      <w:pPr>
        <w:widowControl w:val="0"/>
        <w:numPr>
          <w:ilvl w:val="0"/>
          <w:numId w:val="21"/>
        </w:numPr>
        <w:autoSpaceDE w:val="0"/>
        <w:autoSpaceDN w:val="0"/>
        <w:ind w:left="180" w:hanging="180"/>
        <w:rPr>
          <w:rFonts w:eastAsia="Calibri" w:cs="Microsoft Sans Serif"/>
          <w:lang w:bidi="en-US"/>
        </w:rPr>
      </w:pPr>
      <w:r w:rsidRPr="00782FE7">
        <w:rPr>
          <w:rFonts w:eastAsia="Calibri" w:cs="Microsoft Sans Serif"/>
          <w:lang w:bidi="en-US"/>
        </w:rPr>
        <w:t xml:space="preserve">Event/General Liability covers fall carnivals, bounce houses, dunking booths, fun runs, skating parties, auctions, and more. </w:t>
      </w:r>
      <w:r w:rsidRPr="00782FE7">
        <w:rPr>
          <w:rFonts w:eastAsia="Calibri" w:cs="Microsoft Sans Serif"/>
          <w:i/>
          <w:iCs/>
          <w:lang w:bidi="en-US"/>
        </w:rPr>
        <w:t xml:space="preserve">Upgrade available: </w:t>
      </w:r>
      <w:r w:rsidRPr="00782FE7">
        <w:rPr>
          <w:rFonts w:eastAsia="Calibri" w:cs="Microsoft Sans Serif"/>
          <w:lang w:bidi="en-US"/>
        </w:rPr>
        <w:t>Media Liability to cover misuse of content on your PTA website or social media.</w:t>
      </w:r>
    </w:p>
    <w:p w14:paraId="4A67B572" w14:textId="77777777" w:rsidR="00C8152F" w:rsidRPr="00782FE7" w:rsidRDefault="00C8152F" w:rsidP="00C8152F">
      <w:pPr>
        <w:widowControl w:val="0"/>
        <w:autoSpaceDE w:val="0"/>
        <w:autoSpaceDN w:val="0"/>
        <w:rPr>
          <w:rFonts w:eastAsia="Calibri" w:cs="Microsoft Sans Serif"/>
          <w:b/>
          <w:bCs/>
          <w:lang w:bidi="en-US"/>
        </w:rPr>
      </w:pPr>
    </w:p>
    <w:p w14:paraId="07A8C623" w14:textId="77777777" w:rsidR="00C8152F" w:rsidRPr="00782FE7" w:rsidRDefault="00C8152F" w:rsidP="00C8152F">
      <w:pPr>
        <w:widowControl w:val="0"/>
        <w:autoSpaceDE w:val="0"/>
        <w:autoSpaceDN w:val="0"/>
        <w:rPr>
          <w:rFonts w:eastAsia="Calibri" w:cs="Microsoft Sans Serif"/>
          <w:b/>
          <w:bCs/>
          <w:lang w:bidi="en-US"/>
        </w:rPr>
      </w:pPr>
      <w:r w:rsidRPr="00782FE7">
        <w:rPr>
          <w:rFonts w:eastAsia="Calibri" w:cs="Microsoft Sans Serif"/>
          <w:b/>
          <w:bCs/>
          <w:lang w:bidi="en-US"/>
        </w:rPr>
        <w:t>Directors &amp; Officers Liability Coverage</w:t>
      </w:r>
    </w:p>
    <w:p w14:paraId="70C5D985" w14:textId="77777777" w:rsidR="00C8152F" w:rsidRPr="00782FE7" w:rsidRDefault="00C8152F" w:rsidP="00C8152F">
      <w:pPr>
        <w:widowControl w:val="0"/>
        <w:numPr>
          <w:ilvl w:val="0"/>
          <w:numId w:val="24"/>
        </w:numPr>
        <w:autoSpaceDE w:val="0"/>
        <w:autoSpaceDN w:val="0"/>
        <w:ind w:left="180" w:hanging="180"/>
        <w:rPr>
          <w:rFonts w:eastAsia="Calibri" w:cs="Microsoft Sans Serif"/>
          <w:lang w:bidi="en-US"/>
        </w:rPr>
      </w:pPr>
      <w:r w:rsidRPr="00782FE7">
        <w:rPr>
          <w:rFonts w:eastAsia="Calibri" w:cs="Microsoft Sans Serif"/>
          <w:lang w:bidi="en-US"/>
        </w:rPr>
        <w:t>$1,000,000 liability limit</w:t>
      </w:r>
    </w:p>
    <w:p w14:paraId="7136B4FB" w14:textId="77777777" w:rsidR="00C8152F" w:rsidRPr="00782FE7" w:rsidRDefault="00C8152F" w:rsidP="00C8152F">
      <w:pPr>
        <w:widowControl w:val="0"/>
        <w:numPr>
          <w:ilvl w:val="0"/>
          <w:numId w:val="24"/>
        </w:numPr>
        <w:autoSpaceDE w:val="0"/>
        <w:autoSpaceDN w:val="0"/>
        <w:ind w:left="180" w:hanging="180"/>
        <w:rPr>
          <w:rFonts w:eastAsia="Calibri" w:cs="Microsoft Sans Serif"/>
          <w:lang w:bidi="en-US"/>
        </w:rPr>
      </w:pPr>
      <w:r w:rsidRPr="00782FE7">
        <w:rPr>
          <w:rFonts w:eastAsia="Calibri" w:cs="Microsoft Sans Serif"/>
          <w:lang w:bidi="en-US"/>
        </w:rPr>
        <w:t>$1,500 deductible</w:t>
      </w:r>
    </w:p>
    <w:p w14:paraId="5AC9F027" w14:textId="77777777" w:rsidR="00C8152F" w:rsidRPr="00782FE7" w:rsidRDefault="00C8152F" w:rsidP="00C8152F">
      <w:pPr>
        <w:widowControl w:val="0"/>
        <w:numPr>
          <w:ilvl w:val="0"/>
          <w:numId w:val="24"/>
        </w:numPr>
        <w:autoSpaceDE w:val="0"/>
        <w:autoSpaceDN w:val="0"/>
        <w:ind w:left="180" w:hanging="180"/>
        <w:rPr>
          <w:rFonts w:eastAsia="Calibri" w:cs="Microsoft Sans Serif"/>
          <w:lang w:bidi="en-US"/>
        </w:rPr>
      </w:pPr>
      <w:r w:rsidRPr="00782FE7">
        <w:rPr>
          <w:rFonts w:eastAsia="Calibri" w:cs="Microsoft Sans Serif"/>
          <w:lang w:bidi="en-US"/>
        </w:rPr>
        <w:t>If someone sued the officers of your PTA for mismanagement, misrepresentations, dissemination of false or misleading information, or inappropriate actions, this coverage would pay to defend them against those actions.</w:t>
      </w:r>
    </w:p>
    <w:p w14:paraId="100EE276" w14:textId="77777777" w:rsidR="00C8152F" w:rsidRPr="00782FE7" w:rsidRDefault="00C8152F" w:rsidP="00C8152F">
      <w:pPr>
        <w:widowControl w:val="0"/>
        <w:autoSpaceDE w:val="0"/>
        <w:autoSpaceDN w:val="0"/>
        <w:rPr>
          <w:rFonts w:eastAsia="Calibri" w:cs="Microsoft Sans Serif"/>
          <w:lang w:bidi="en-US"/>
        </w:rPr>
      </w:pPr>
      <w:r w:rsidRPr="00782FE7">
        <w:rPr>
          <w:rFonts w:eastAsia="Calibri" w:cs="Microsoft Sans Serif"/>
          <w:b/>
          <w:bCs/>
          <w:lang w:bidi="en-US"/>
        </w:rPr>
        <w:br w:type="column"/>
      </w:r>
      <w:r w:rsidRPr="00782FE7">
        <w:rPr>
          <w:rFonts w:eastAsia="Calibri" w:cs="Microsoft Sans Serif"/>
          <w:b/>
          <w:bCs/>
          <w:lang w:bidi="en-US"/>
        </w:rPr>
        <w:t xml:space="preserve">Embezzlement Coverage </w:t>
      </w:r>
      <w:r w:rsidRPr="00782FE7">
        <w:rPr>
          <w:rFonts w:eastAsia="Calibri" w:cs="Microsoft Sans Serif"/>
          <w:lang w:bidi="en-US"/>
        </w:rPr>
        <w:t>(Bond)</w:t>
      </w:r>
    </w:p>
    <w:p w14:paraId="261277A0" w14:textId="77777777" w:rsidR="00C8152F" w:rsidRPr="00782FE7" w:rsidRDefault="00C8152F" w:rsidP="00C8152F">
      <w:pPr>
        <w:widowControl w:val="0"/>
        <w:numPr>
          <w:ilvl w:val="0"/>
          <w:numId w:val="22"/>
        </w:numPr>
        <w:autoSpaceDE w:val="0"/>
        <w:autoSpaceDN w:val="0"/>
        <w:ind w:left="180" w:hanging="180"/>
        <w:rPr>
          <w:rFonts w:eastAsia="Calibri" w:cs="Microsoft Sans Serif"/>
          <w:lang w:bidi="en-US"/>
        </w:rPr>
      </w:pPr>
      <w:r w:rsidRPr="00782FE7">
        <w:rPr>
          <w:rFonts w:eastAsia="Calibri" w:cs="Microsoft Sans Serif"/>
          <w:lang w:bidi="en-US"/>
        </w:rPr>
        <w:t>Coverage available: $10,000, $25,000, and $50,000</w:t>
      </w:r>
    </w:p>
    <w:p w14:paraId="2D83F5CA" w14:textId="77777777" w:rsidR="00C8152F" w:rsidRPr="00782FE7" w:rsidRDefault="00C8152F" w:rsidP="00C8152F">
      <w:pPr>
        <w:widowControl w:val="0"/>
        <w:numPr>
          <w:ilvl w:val="0"/>
          <w:numId w:val="22"/>
        </w:numPr>
        <w:autoSpaceDE w:val="0"/>
        <w:autoSpaceDN w:val="0"/>
        <w:ind w:left="180" w:hanging="180"/>
        <w:rPr>
          <w:rFonts w:eastAsia="Calibri" w:cs="Microsoft Sans Serif"/>
          <w:lang w:bidi="en-US"/>
        </w:rPr>
      </w:pPr>
      <w:r w:rsidRPr="00782FE7">
        <w:rPr>
          <w:rFonts w:eastAsia="Calibri" w:cs="Microsoft Sans Serif"/>
          <w:lang w:bidi="en-US"/>
        </w:rPr>
        <w:t>$250 deductible</w:t>
      </w:r>
    </w:p>
    <w:p w14:paraId="3A7916DB" w14:textId="77777777" w:rsidR="00C8152F" w:rsidRPr="00782FE7" w:rsidRDefault="00C8152F" w:rsidP="00C8152F">
      <w:pPr>
        <w:widowControl w:val="0"/>
        <w:numPr>
          <w:ilvl w:val="0"/>
          <w:numId w:val="22"/>
        </w:numPr>
        <w:autoSpaceDE w:val="0"/>
        <w:autoSpaceDN w:val="0"/>
        <w:ind w:left="180" w:hanging="180"/>
        <w:rPr>
          <w:rFonts w:eastAsia="Calibri" w:cs="Microsoft Sans Serif"/>
          <w:lang w:bidi="en-US"/>
        </w:rPr>
      </w:pPr>
      <w:r w:rsidRPr="00782FE7">
        <w:rPr>
          <w:rFonts w:eastAsia="Calibri" w:cs="Microsoft Sans Serif"/>
          <w:lang w:bidi="en-US"/>
        </w:rPr>
        <w:t>Embezzlement Insurance covers monetary losses sustained by a PTA through any fraudulent or dishonest act(s) or embezzlement committed by any of the elected officers, members, volunteers, or employees.</w:t>
      </w:r>
    </w:p>
    <w:p w14:paraId="526EAC8B" w14:textId="77777777" w:rsidR="00C8152F" w:rsidRPr="00782FE7" w:rsidRDefault="00C8152F" w:rsidP="00C8152F">
      <w:pPr>
        <w:widowControl w:val="0"/>
        <w:autoSpaceDE w:val="0"/>
        <w:autoSpaceDN w:val="0"/>
        <w:rPr>
          <w:rFonts w:eastAsia="Calibri" w:cs="Microsoft Sans Serif"/>
          <w:b/>
          <w:bCs/>
          <w:lang w:bidi="en-US"/>
        </w:rPr>
      </w:pPr>
    </w:p>
    <w:p w14:paraId="7ADE3A4B" w14:textId="77777777" w:rsidR="00C8152F" w:rsidRPr="00782FE7" w:rsidRDefault="00C8152F" w:rsidP="00C8152F">
      <w:pPr>
        <w:widowControl w:val="0"/>
        <w:autoSpaceDE w:val="0"/>
        <w:autoSpaceDN w:val="0"/>
        <w:rPr>
          <w:rFonts w:eastAsia="Calibri" w:cs="Microsoft Sans Serif"/>
          <w:b/>
          <w:bCs/>
          <w:lang w:bidi="en-US"/>
        </w:rPr>
      </w:pPr>
      <w:r w:rsidRPr="00782FE7">
        <w:rPr>
          <w:rFonts w:eastAsia="Calibri" w:cs="Microsoft Sans Serif"/>
          <w:b/>
          <w:bCs/>
          <w:lang w:bidi="en-US"/>
        </w:rPr>
        <w:t>Property Coverage</w:t>
      </w:r>
    </w:p>
    <w:p w14:paraId="3A6F3B5E" w14:textId="77777777" w:rsidR="00C8152F" w:rsidRPr="00782FE7" w:rsidRDefault="00C8152F" w:rsidP="00C8152F">
      <w:pPr>
        <w:widowControl w:val="0"/>
        <w:numPr>
          <w:ilvl w:val="0"/>
          <w:numId w:val="23"/>
        </w:numPr>
        <w:autoSpaceDE w:val="0"/>
        <w:autoSpaceDN w:val="0"/>
        <w:ind w:left="180" w:hanging="180"/>
        <w:rPr>
          <w:rFonts w:eastAsia="Calibri" w:cs="Microsoft Sans Serif"/>
          <w:lang w:bidi="en-US"/>
        </w:rPr>
      </w:pPr>
      <w:r w:rsidRPr="00782FE7">
        <w:rPr>
          <w:rFonts w:eastAsia="Calibri" w:cs="Microsoft Sans Serif"/>
          <w:lang w:bidi="en-US"/>
        </w:rPr>
        <w:t>Coverage available: $10,000, $20,000, and $50,000</w:t>
      </w:r>
    </w:p>
    <w:p w14:paraId="5845632F" w14:textId="77777777" w:rsidR="00C8152F" w:rsidRPr="00782FE7" w:rsidRDefault="00C8152F" w:rsidP="00C8152F">
      <w:pPr>
        <w:widowControl w:val="0"/>
        <w:numPr>
          <w:ilvl w:val="0"/>
          <w:numId w:val="23"/>
        </w:numPr>
        <w:autoSpaceDE w:val="0"/>
        <w:autoSpaceDN w:val="0"/>
        <w:ind w:left="180" w:hanging="180"/>
        <w:rPr>
          <w:rFonts w:eastAsia="Calibri" w:cs="Microsoft Sans Serif"/>
          <w:lang w:bidi="en-US"/>
        </w:rPr>
      </w:pPr>
      <w:r w:rsidRPr="00782FE7">
        <w:rPr>
          <w:rFonts w:eastAsia="Calibri" w:cs="Microsoft Sans Serif"/>
          <w:lang w:bidi="en-US"/>
        </w:rPr>
        <w:t>$250 deductible</w:t>
      </w:r>
    </w:p>
    <w:p w14:paraId="78FADA56" w14:textId="77777777" w:rsidR="00C8152F" w:rsidRPr="00782FE7" w:rsidRDefault="00C8152F" w:rsidP="00C8152F">
      <w:pPr>
        <w:widowControl w:val="0"/>
        <w:numPr>
          <w:ilvl w:val="0"/>
          <w:numId w:val="23"/>
        </w:numPr>
        <w:autoSpaceDE w:val="0"/>
        <w:autoSpaceDN w:val="0"/>
        <w:ind w:left="180" w:hanging="180"/>
        <w:rPr>
          <w:rFonts w:eastAsia="Calibri" w:cs="Microsoft Sans Serif"/>
          <w:lang w:bidi="en-US"/>
        </w:rPr>
        <w:sectPr w:rsidR="00C8152F" w:rsidRPr="00782FE7" w:rsidSect="00E32186">
          <w:type w:val="continuous"/>
          <w:pgSz w:w="12240" w:h="15840"/>
          <w:pgMar w:top="720" w:right="720" w:bottom="720" w:left="720" w:header="0" w:footer="720" w:gutter="0"/>
          <w:cols w:num="2" w:space="180"/>
          <w:docGrid w:linePitch="299"/>
        </w:sectPr>
      </w:pPr>
      <w:r w:rsidRPr="00782FE7">
        <w:rPr>
          <w:rFonts w:eastAsia="Calibri" w:cs="Microsoft Sans Serif"/>
          <w:lang w:bidi="en-US"/>
        </w:rPr>
        <w:t>Property Insurance covers items such as raffle merchandise, auction items, and fundraising supplies while in your PTA's care, as well as your PTA’s individual property like popcorn machines, school store supplies, emergency relief supplies, and more.</w:t>
      </w:r>
      <w:bookmarkStart w:id="1" w:name="_AUDIT_COMMITTEE_&amp;"/>
      <w:bookmarkEnd w:id="1"/>
    </w:p>
    <w:p w14:paraId="4A971465" w14:textId="255DB9A6" w:rsidR="00C8152F" w:rsidRPr="001C37FC" w:rsidRDefault="001C37FC" w:rsidP="00C8152F">
      <w:pPr>
        <w:spacing w:after="160" w:line="259" w:lineRule="auto"/>
        <w:rPr>
          <w:rFonts w:eastAsia="Calibri" w:cs="Microsoft Sans Serif"/>
          <w:color w:val="000000" w:themeColor="text1"/>
          <w:lang w:bidi="en-US"/>
        </w:rPr>
      </w:pPr>
      <w:r>
        <w:rPr>
          <w:rFonts w:eastAsia="Calibri" w:cs="Microsoft Sans Serif"/>
          <w:color w:val="000000" w:themeColor="text1"/>
          <w:lang w:bidi="en-US"/>
        </w:rPr>
        <w:t xml:space="preserve">All PTAs </w:t>
      </w:r>
      <w:r w:rsidRPr="001C37FC">
        <w:rPr>
          <w:rFonts w:eastAsia="Calibri" w:cs="Microsoft Sans Serif"/>
          <w:color w:val="000000" w:themeColor="text1"/>
          <w:lang w:bidi="en-US"/>
        </w:rPr>
        <w:t>will be required</w:t>
      </w:r>
      <w:r>
        <w:rPr>
          <w:rFonts w:eastAsia="Calibri" w:cs="Microsoft Sans Serif"/>
          <w:color w:val="000000" w:themeColor="text1"/>
          <w:lang w:bidi="en-US"/>
        </w:rPr>
        <w:t xml:space="preserve"> to have insurance starting in 2023-24. It is currently strongly recommended.</w:t>
      </w:r>
    </w:p>
    <w:p w14:paraId="49AC64CA" w14:textId="20F649F9" w:rsidR="00504831" w:rsidRPr="001C37FC" w:rsidRDefault="00504831" w:rsidP="00C8152F">
      <w:pPr>
        <w:rPr>
          <w:color w:val="000000" w:themeColor="text1"/>
        </w:rPr>
      </w:pPr>
    </w:p>
    <w:sectPr w:rsidR="00504831" w:rsidRPr="001C37FC" w:rsidSect="00C659D1">
      <w:footerReference w:type="default" r:id="rId6"/>
      <w:type w:val="continuous"/>
      <w:pgSz w:w="12240" w:h="15840"/>
      <w:pgMar w:top="720" w:right="720" w:bottom="720" w:left="720" w:header="0" w:footer="576" w:gutter="0"/>
      <w:cols w:space="18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67F" w14:textId="77777777" w:rsidR="007231CB" w:rsidRPr="00EC1055" w:rsidRDefault="00000000" w:rsidP="00EC1055">
    <w:pPr>
      <w:pStyle w:val="Footer"/>
      <w:tabs>
        <w:tab w:val="clear" w:pos="4680"/>
        <w:tab w:val="clear" w:pos="9360"/>
        <w:tab w:val="center" w:pos="5400"/>
        <w:tab w:val="left" w:pos="8910"/>
      </w:tabs>
      <w:ind w:left="270" w:right="450"/>
      <w:rPr>
        <w:rFonts w:ascii="Arial Nova" w:hAnsi="Arial Nova"/>
        <w:color w:val="808080" w:themeColor="background1" w:themeShade="80"/>
      </w:rPr>
    </w:pPr>
    <w:r w:rsidRPr="00EC1055">
      <w:rPr>
        <w:rFonts w:ascii="Arial Nova" w:hAnsi="Arial Nova"/>
        <w:color w:val="808080" w:themeColor="background1" w:themeShade="80"/>
      </w:rPr>
      <w:t>L</w:t>
    </w:r>
    <w:r w:rsidRPr="00EC1055">
      <w:rPr>
        <w:rFonts w:ascii="Arial Nova" w:hAnsi="Arial Nova"/>
        <w:color w:val="808080" w:themeColor="background1" w:themeShade="80"/>
      </w:rPr>
      <w:t>ouisiana</w:t>
    </w:r>
    <w:r w:rsidRPr="00EC1055">
      <w:rPr>
        <w:rFonts w:ascii="Arial Nova" w:hAnsi="Arial Nova"/>
        <w:color w:val="808080" w:themeColor="background1" w:themeShade="80"/>
      </w:rPr>
      <w:t>PTA</w:t>
    </w:r>
    <w:r w:rsidRPr="00EC1055">
      <w:rPr>
        <w:rFonts w:ascii="Arial Nova" w:hAnsi="Arial Nova"/>
        <w:color w:val="808080" w:themeColor="background1" w:themeShade="80"/>
      </w:rPr>
      <w:t>.org</w:t>
    </w:r>
    <w:r w:rsidRPr="00EC1055">
      <w:rPr>
        <w:rFonts w:ascii="Arial Nova" w:hAnsi="Arial Nova"/>
        <w:color w:val="808080" w:themeColor="background1" w:themeShade="80"/>
      </w:rPr>
      <w:tab/>
      <w:t xml:space="preserve">Treasurer, Sec </w:t>
    </w:r>
    <w:r w:rsidRPr="00EC1055">
      <w:rPr>
        <w:rFonts w:ascii="Arial Nova" w:hAnsi="Arial Nova"/>
        <w:color w:val="808080" w:themeColor="background1" w:themeShade="80"/>
      </w:rPr>
      <w:t>3</w:t>
    </w:r>
    <w:r w:rsidRPr="00EC1055">
      <w:rPr>
        <w:rFonts w:ascii="Arial Nova" w:hAnsi="Arial Nova"/>
        <w:color w:val="808080" w:themeColor="background1" w:themeShade="80"/>
      </w:rPr>
      <w:t xml:space="preserve"> </w:t>
    </w:r>
    <w:r w:rsidRPr="00EC1055">
      <w:rPr>
        <w:rFonts w:ascii="Arial Nova" w:hAnsi="Arial Nova"/>
        <w:color w:val="808080" w:themeColor="background1" w:themeShade="80"/>
      </w:rPr>
      <w:tab/>
    </w:r>
    <w:sdt>
      <w:sdtPr>
        <w:rPr>
          <w:rFonts w:ascii="Arial Nova" w:hAnsi="Arial Nova"/>
          <w:color w:val="808080" w:themeColor="background1" w:themeShade="80"/>
        </w:rPr>
        <w:id w:val="-1059163237"/>
        <w:docPartObj>
          <w:docPartGallery w:val="Page Numbers (Bottom of Page)"/>
          <w:docPartUnique/>
        </w:docPartObj>
      </w:sdtPr>
      <w:sdtContent>
        <w:sdt>
          <w:sdtPr>
            <w:rPr>
              <w:rFonts w:ascii="Arial Nova" w:hAnsi="Arial Nova"/>
              <w:color w:val="808080" w:themeColor="background1" w:themeShade="80"/>
            </w:rPr>
            <w:id w:val="1728636285"/>
            <w:docPartObj>
              <w:docPartGallery w:val="Page Numbers (Top of Page)"/>
              <w:docPartUnique/>
            </w:docPartObj>
          </w:sdtPr>
          <w:sdtContent>
            <w:r w:rsidRPr="00EC1055">
              <w:rPr>
                <w:rFonts w:ascii="Arial Nova" w:hAnsi="Arial Nova"/>
                <w:color w:val="808080" w:themeColor="background1" w:themeShade="80"/>
              </w:rPr>
              <w:t xml:space="preserve">Page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PAGE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r w:rsidRPr="00EC1055">
              <w:rPr>
                <w:rFonts w:ascii="Arial Nova" w:hAnsi="Arial Nova"/>
                <w:color w:val="808080" w:themeColor="background1" w:themeShade="80"/>
              </w:rPr>
              <w:t xml:space="preserve"> of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NUMPAGES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sdtContent>
        </w:sdt>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94B81"/>
    <w:multiLevelType w:val="hybridMultilevel"/>
    <w:tmpl w:val="93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C114A"/>
    <w:multiLevelType w:val="hybridMultilevel"/>
    <w:tmpl w:val="C88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9" w15:restartNumberingAfterBreak="0">
    <w:nsid w:val="6FF5632A"/>
    <w:multiLevelType w:val="hybridMultilevel"/>
    <w:tmpl w:val="F6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1"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1576C"/>
    <w:multiLevelType w:val="hybridMultilevel"/>
    <w:tmpl w:val="3EB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7"/>
  </w:num>
  <w:num w:numId="2" w16cid:durableId="529611241">
    <w:abstractNumId w:val="11"/>
  </w:num>
  <w:num w:numId="3" w16cid:durableId="1598559181">
    <w:abstractNumId w:val="12"/>
  </w:num>
  <w:num w:numId="4" w16cid:durableId="1692560826">
    <w:abstractNumId w:val="2"/>
  </w:num>
  <w:num w:numId="5" w16cid:durableId="1184441949">
    <w:abstractNumId w:val="9"/>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8"/>
  </w:num>
  <w:num w:numId="10" w16cid:durableId="1397053356">
    <w:abstractNumId w:val="1"/>
  </w:num>
  <w:num w:numId="11" w16cid:durableId="1415083467">
    <w:abstractNumId w:val="20"/>
  </w:num>
  <w:num w:numId="12" w16cid:durableId="1184317965">
    <w:abstractNumId w:val="5"/>
  </w:num>
  <w:num w:numId="13" w16cid:durableId="1492326983">
    <w:abstractNumId w:val="0"/>
  </w:num>
  <w:num w:numId="14" w16cid:durableId="1218124983">
    <w:abstractNumId w:val="21"/>
  </w:num>
  <w:num w:numId="15" w16cid:durableId="1329556496">
    <w:abstractNumId w:val="6"/>
  </w:num>
  <w:num w:numId="16" w16cid:durableId="1758476127">
    <w:abstractNumId w:val="8"/>
  </w:num>
  <w:num w:numId="17" w16cid:durableId="1936018361">
    <w:abstractNumId w:val="14"/>
  </w:num>
  <w:num w:numId="18" w16cid:durableId="840313487">
    <w:abstractNumId w:val="7"/>
  </w:num>
  <w:num w:numId="19" w16cid:durableId="1843740030">
    <w:abstractNumId w:val="15"/>
  </w:num>
  <w:num w:numId="20" w16cid:durableId="966620268">
    <w:abstractNumId w:val="16"/>
  </w:num>
  <w:num w:numId="21" w16cid:durableId="1451973752">
    <w:abstractNumId w:val="13"/>
  </w:num>
  <w:num w:numId="22" w16cid:durableId="1075780307">
    <w:abstractNumId w:val="19"/>
  </w:num>
  <w:num w:numId="23" w16cid:durableId="1267810018">
    <w:abstractNumId w:val="22"/>
  </w:num>
  <w:num w:numId="24" w16cid:durableId="402411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B266D"/>
    <w:rsid w:val="000E6C41"/>
    <w:rsid w:val="0014580B"/>
    <w:rsid w:val="001C37FC"/>
    <w:rsid w:val="00230541"/>
    <w:rsid w:val="002305E7"/>
    <w:rsid w:val="0030081F"/>
    <w:rsid w:val="00326A89"/>
    <w:rsid w:val="00350816"/>
    <w:rsid w:val="004447A0"/>
    <w:rsid w:val="00456FA4"/>
    <w:rsid w:val="004704FC"/>
    <w:rsid w:val="00504831"/>
    <w:rsid w:val="00557A94"/>
    <w:rsid w:val="00576672"/>
    <w:rsid w:val="005A57EC"/>
    <w:rsid w:val="005D7D3D"/>
    <w:rsid w:val="006C4115"/>
    <w:rsid w:val="00782FE7"/>
    <w:rsid w:val="00813FFD"/>
    <w:rsid w:val="008743CC"/>
    <w:rsid w:val="008E0594"/>
    <w:rsid w:val="0093423B"/>
    <w:rsid w:val="00977716"/>
    <w:rsid w:val="009B6B1F"/>
    <w:rsid w:val="00A07E97"/>
    <w:rsid w:val="00A159C4"/>
    <w:rsid w:val="00A16471"/>
    <w:rsid w:val="00A2570D"/>
    <w:rsid w:val="00A402C6"/>
    <w:rsid w:val="00A8318A"/>
    <w:rsid w:val="00AC707C"/>
    <w:rsid w:val="00B70A98"/>
    <w:rsid w:val="00C659D1"/>
    <w:rsid w:val="00C754FD"/>
    <w:rsid w:val="00C8152F"/>
    <w:rsid w:val="00CC3D99"/>
    <w:rsid w:val="00CE7B05"/>
    <w:rsid w:val="00CF1FD5"/>
    <w:rsid w:val="00D055E1"/>
    <w:rsid w:val="00D07307"/>
    <w:rsid w:val="00D60C69"/>
    <w:rsid w:val="00D8301F"/>
    <w:rsid w:val="00DC05FC"/>
    <w:rsid w:val="00E961EC"/>
    <w:rsid w:val="00EF18D7"/>
    <w:rsid w:val="00F02A1B"/>
    <w:rsid w:val="00F42DC6"/>
    <w:rsid w:val="00FB7CF2"/>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2F"/>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6A89"/>
    <w:pPr>
      <w:widowControl w:val="0"/>
      <w:tabs>
        <w:tab w:val="center" w:pos="4680"/>
        <w:tab w:val="right" w:pos="9360"/>
      </w:tabs>
      <w:autoSpaceDE w:val="0"/>
      <w:autoSpaceDN w:val="0"/>
    </w:pPr>
    <w:rPr>
      <w:rFonts w:ascii="Calibri" w:eastAsia="Calibri" w:hAnsi="Calibri" w:cs="Calibri"/>
      <w:lang w:bidi="en-US"/>
    </w:rPr>
  </w:style>
  <w:style w:type="character" w:customStyle="1" w:styleId="FooterChar">
    <w:name w:val="Footer Char"/>
    <w:basedOn w:val="DefaultParagraphFont"/>
    <w:link w:val="Footer"/>
    <w:uiPriority w:val="99"/>
    <w:rsid w:val="00326A8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1840</Characters>
  <Application>Microsoft Office Word</Application>
  <DocSecurity>0</DocSecurity>
  <Lines>41</Lines>
  <Paragraphs>30</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2022-07-03T17:14:00Z</cp:lastPrinted>
  <dcterms:created xsi:type="dcterms:W3CDTF">2022-07-03T17:12:00Z</dcterms:created>
  <dcterms:modified xsi:type="dcterms:W3CDTF">2022-07-03T17:14:00Z</dcterms:modified>
</cp:coreProperties>
</file>