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9AF0" w14:textId="77777777" w:rsidR="00DB639D" w:rsidRDefault="00DB639D" w:rsidP="00DB639D">
      <w:pPr>
        <w:widowControl w:val="0"/>
        <w:autoSpaceDE w:val="0"/>
        <w:autoSpaceDN w:val="0"/>
        <w:jc w:val="center"/>
        <w:rPr>
          <w:rFonts w:eastAsia="Calibri" w:cs="Microsoft Sans Serif"/>
          <w:b/>
          <w:color w:val="1A3E6F"/>
          <w:sz w:val="40"/>
          <w:szCs w:val="40"/>
          <w:lang w:bidi="en-US"/>
        </w:rPr>
      </w:pPr>
      <w:bookmarkStart w:id="0" w:name="Insurance"/>
      <w:bookmarkStart w:id="1" w:name="AddResources"/>
      <w:r w:rsidRPr="00BF0AA0">
        <w:rPr>
          <w:rFonts w:ascii="Calibri" w:eastAsia="Calibri" w:hAnsi="Calibri" w:cs="Calibri"/>
          <w:noProof/>
          <w:lang w:bidi="en-US"/>
        </w:rPr>
        <w:drawing>
          <wp:anchor distT="0" distB="0" distL="114300" distR="114300" simplePos="0" relativeHeight="251660288" behindDoc="0" locked="0" layoutInCell="1" allowOverlap="1" wp14:anchorId="55D67CC2" wp14:editId="071B6186">
            <wp:simplePos x="0" y="0"/>
            <wp:positionH relativeFrom="margin">
              <wp:align>left</wp:align>
            </wp:positionH>
            <wp:positionV relativeFrom="margin">
              <wp:align>top</wp:align>
            </wp:positionV>
            <wp:extent cx="1516760" cy="597654"/>
            <wp:effectExtent l="0" t="0" r="7620" b="0"/>
            <wp:wrapNone/>
            <wp:docPr id="23"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Pr="00DB639D">
        <w:rPr>
          <w:rFonts w:eastAsia="Calibri" w:cs="Microsoft Sans Serif"/>
          <w:b/>
          <w:color w:val="1A3E6F"/>
          <w:sz w:val="40"/>
          <w:szCs w:val="40"/>
          <w:lang w:bidi="en-US"/>
        </w:rPr>
        <w:t xml:space="preserve">ADDITIONAL </w:t>
      </w:r>
    </w:p>
    <w:p w14:paraId="5349303E" w14:textId="4078F63F" w:rsidR="00DB639D" w:rsidRPr="00DB639D" w:rsidRDefault="00DB639D" w:rsidP="00DB639D">
      <w:pPr>
        <w:widowControl w:val="0"/>
        <w:autoSpaceDE w:val="0"/>
        <w:autoSpaceDN w:val="0"/>
        <w:jc w:val="center"/>
        <w:rPr>
          <w:rFonts w:eastAsia="Calibri" w:cs="Microsoft Sans Serif"/>
          <w:b/>
          <w:color w:val="1A3E6F"/>
          <w:sz w:val="40"/>
          <w:szCs w:val="40"/>
          <w:lang w:bidi="en-US"/>
        </w:rPr>
      </w:pPr>
      <w:r w:rsidRPr="00DB639D">
        <w:rPr>
          <w:rFonts w:eastAsia="Calibri" w:cs="Microsoft Sans Serif"/>
          <w:b/>
          <w:color w:val="1A3E6F"/>
          <w:sz w:val="40"/>
          <w:szCs w:val="40"/>
          <w:lang w:bidi="en-US"/>
        </w:rPr>
        <w:t>RESOURCES</w:t>
      </w:r>
    </w:p>
    <w:bookmarkEnd w:id="1"/>
    <w:p w14:paraId="39CCA1A0" w14:textId="77777777" w:rsidR="00DB639D" w:rsidRPr="00DB639D" w:rsidRDefault="00DB639D" w:rsidP="00DB639D">
      <w:pPr>
        <w:widowControl w:val="0"/>
        <w:autoSpaceDE w:val="0"/>
        <w:autoSpaceDN w:val="0"/>
        <w:jc w:val="both"/>
        <w:outlineLvl w:val="3"/>
        <w:rPr>
          <w:rFonts w:eastAsia="Arial" w:cs="Microsoft Sans Serif"/>
          <w:color w:val="000000" w:themeColor="text1"/>
          <w:lang w:bidi="en-US"/>
        </w:rPr>
      </w:pPr>
      <w:r w:rsidRPr="00DB639D">
        <w:rPr>
          <w:rFonts w:eastAsia="Arial" w:cs="Microsoft Sans Serif"/>
          <w:color w:val="000000" w:themeColor="text1"/>
          <w:lang w:bidi="en-US"/>
        </w:rPr>
        <w:t xml:space="preserve">The National PTA </w:t>
      </w:r>
      <w:r w:rsidRPr="00DB639D">
        <w:rPr>
          <w:rFonts w:eastAsia="Arial" w:cs="Microsoft Sans Serif"/>
          <w:i/>
          <w:color w:val="000000" w:themeColor="text1"/>
          <w:lang w:bidi="en-US"/>
        </w:rPr>
        <w:t xml:space="preserve">Local PTA Leader Kit’s </w:t>
      </w:r>
      <w:r w:rsidRPr="00DB639D">
        <w:rPr>
          <w:rFonts w:eastAsia="Arial" w:cs="Microsoft Sans Serif"/>
          <w:color w:val="000000" w:themeColor="text1"/>
          <w:lang w:bidi="en-US"/>
        </w:rPr>
        <w:t xml:space="preserve">finance section has a wealth of information. Create an account at </w:t>
      </w:r>
      <w:hyperlink r:id="rId8">
        <w:r w:rsidRPr="00DB639D">
          <w:rPr>
            <w:rFonts w:eastAsia="Arial" w:cs="Microsoft Sans Serif"/>
            <w:b/>
            <w:bCs/>
            <w:color w:val="000000" w:themeColor="text1"/>
            <w:lang w:bidi="en-US"/>
          </w:rPr>
          <w:t>PTA.org</w:t>
        </w:r>
        <w:r w:rsidRPr="00DB639D">
          <w:rPr>
            <w:rFonts w:eastAsia="Arial" w:cs="Microsoft Sans Serif"/>
            <w:b/>
            <w:color w:val="000000" w:themeColor="text1"/>
            <w:lang w:bidi="en-US"/>
          </w:rPr>
          <w:t xml:space="preserve"> </w:t>
        </w:r>
      </w:hyperlink>
      <w:r w:rsidRPr="00DB639D">
        <w:rPr>
          <w:rFonts w:eastAsia="Arial" w:cs="Microsoft Sans Serif"/>
          <w:color w:val="000000" w:themeColor="text1"/>
          <w:lang w:bidi="en-US"/>
        </w:rPr>
        <w:t xml:space="preserve">to access other resources such as E-Learning courses. National PTA has gathered several articles relating to basic financial management to help you effectively run your PTA and fulfill your goals while maintaining fiscal responsibility. </w:t>
      </w:r>
    </w:p>
    <w:p w14:paraId="7A614E90" w14:textId="77777777" w:rsidR="00DB639D" w:rsidRPr="00DB639D" w:rsidRDefault="00DB639D" w:rsidP="00DB639D">
      <w:pPr>
        <w:widowControl w:val="0"/>
        <w:autoSpaceDE w:val="0"/>
        <w:autoSpaceDN w:val="0"/>
        <w:jc w:val="both"/>
        <w:outlineLvl w:val="3"/>
        <w:rPr>
          <w:rFonts w:eastAsia="Arial" w:cs="Microsoft Sans Serif"/>
          <w:color w:val="000000" w:themeColor="text1"/>
          <w:lang w:bidi="en-US"/>
        </w:rPr>
      </w:pPr>
    </w:p>
    <w:p w14:paraId="020FE98B" w14:textId="77777777" w:rsidR="00DB639D" w:rsidRPr="00DB639D" w:rsidRDefault="00DB639D" w:rsidP="00DB639D">
      <w:pPr>
        <w:widowControl w:val="0"/>
        <w:autoSpaceDE w:val="0"/>
        <w:autoSpaceDN w:val="0"/>
        <w:jc w:val="both"/>
        <w:outlineLvl w:val="3"/>
        <w:rPr>
          <w:rFonts w:eastAsia="Arial" w:cs="Microsoft Sans Serif"/>
          <w:color w:val="000000" w:themeColor="text1"/>
          <w:lang w:bidi="en-US"/>
        </w:rPr>
      </w:pPr>
      <w:r w:rsidRPr="00DB639D">
        <w:rPr>
          <w:rFonts w:eastAsia="Arial" w:cs="Microsoft Sans Serif"/>
          <w:color w:val="000000" w:themeColor="text1"/>
          <w:lang w:bidi="en-US"/>
        </w:rPr>
        <w:t xml:space="preserve">Refer to the LAPTA site at </w:t>
      </w:r>
      <w:r w:rsidRPr="00DB639D">
        <w:rPr>
          <w:rFonts w:eastAsia="Arial" w:cs="Microsoft Sans Serif"/>
          <w:b/>
          <w:bCs/>
          <w:color w:val="000000" w:themeColor="text1"/>
          <w:lang w:bidi="en-US"/>
        </w:rPr>
        <w:t>LouisianaPTA.org/treasurer</w:t>
      </w:r>
      <w:r w:rsidRPr="00DB639D">
        <w:rPr>
          <w:rFonts w:eastAsia="Arial" w:cs="Microsoft Sans Serif"/>
          <w:color w:val="000000" w:themeColor="text1"/>
          <w:lang w:bidi="en-US"/>
        </w:rPr>
        <w:t xml:space="preserve"> for up-to-date information, forms, and training. Contact the LAPTA Treasurer at Treasurer@LouisianaPTA.org with any questions.</w:t>
      </w:r>
    </w:p>
    <w:p w14:paraId="377F3D75" w14:textId="77777777" w:rsidR="00DB639D" w:rsidRPr="00DB639D" w:rsidRDefault="00DB639D" w:rsidP="00DB639D">
      <w:pPr>
        <w:widowControl w:val="0"/>
        <w:autoSpaceDE w:val="0"/>
        <w:autoSpaceDN w:val="0"/>
        <w:jc w:val="both"/>
        <w:outlineLvl w:val="2"/>
        <w:rPr>
          <w:rFonts w:eastAsia="Calibri" w:cs="Microsoft Sans Serif"/>
          <w:b/>
          <w:bCs/>
          <w:color w:val="000000" w:themeColor="text1"/>
          <w:lang w:bidi="en-US"/>
        </w:rPr>
      </w:pPr>
    </w:p>
    <w:p w14:paraId="276581AE" w14:textId="77777777" w:rsidR="00DB639D" w:rsidRPr="00DB639D" w:rsidRDefault="00DB639D" w:rsidP="00DB639D">
      <w:pPr>
        <w:widowControl w:val="0"/>
        <w:autoSpaceDE w:val="0"/>
        <w:autoSpaceDN w:val="0"/>
        <w:jc w:val="both"/>
        <w:rPr>
          <w:rFonts w:eastAsia="Calibri" w:cs="Microsoft Sans Serif"/>
          <w:color w:val="000000" w:themeColor="text1"/>
          <w:lang w:bidi="en-US"/>
        </w:rPr>
      </w:pPr>
      <w:r w:rsidRPr="00DB639D">
        <w:rPr>
          <w:rFonts w:eastAsia="Calibri" w:cs="Microsoft Sans Serif"/>
          <w:color w:val="000000" w:themeColor="text1"/>
          <w:lang w:bidi="en-US"/>
        </w:rPr>
        <w:t xml:space="preserve">The Internal Revenue Service website is </w:t>
      </w:r>
      <w:r w:rsidRPr="00DB639D">
        <w:rPr>
          <w:rFonts w:eastAsia="Calibri" w:cs="Microsoft Sans Serif"/>
          <w:b/>
          <w:bCs/>
          <w:color w:val="000000" w:themeColor="text1"/>
          <w:lang w:bidi="en-US"/>
        </w:rPr>
        <w:t>IRS.gov</w:t>
      </w:r>
      <w:r w:rsidRPr="00DB639D">
        <w:rPr>
          <w:rFonts w:eastAsia="Calibri" w:cs="Microsoft Sans Serif"/>
          <w:color w:val="000000" w:themeColor="text1"/>
          <w:lang w:bidi="en-US"/>
        </w:rPr>
        <w:t>. The “charities and non-profits” section is especially helpful to PTAs and allows downloading of forms and instructions as well as informational brochures. One of the most useful is Publication 4221, “Compliance Guide for 501(c)(3) Tax-Exempt Organizations” which addresses records, what should be kept, and for how long.</w:t>
      </w:r>
    </w:p>
    <w:p w14:paraId="1E34420C" w14:textId="59FEA6A0" w:rsidR="00C478A6" w:rsidRPr="00BF0AA0" w:rsidRDefault="00C478A6" w:rsidP="00DB639D">
      <w:pPr>
        <w:spacing w:after="160" w:line="259" w:lineRule="auto"/>
        <w:rPr>
          <w:rFonts w:eastAsia="Calibri" w:cs="Microsoft Sans Serif"/>
          <w:bCs/>
          <w:color w:val="000000" w:themeColor="text1"/>
          <w:lang w:bidi="en-US"/>
        </w:rPr>
      </w:pPr>
    </w:p>
    <w:bookmarkEnd w:id="0"/>
    <w:sectPr w:rsidR="00C478A6" w:rsidRPr="00BF0AA0" w:rsidSect="00C659D1">
      <w:footerReference w:type="default" r:id="rId9"/>
      <w:type w:val="continuous"/>
      <w:pgSz w:w="12240" w:h="15840"/>
      <w:pgMar w:top="720" w:right="720" w:bottom="720" w:left="720" w:header="0" w:footer="576" w:gutter="0"/>
      <w:cols w:space="1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3CCF" w14:textId="77777777" w:rsidR="00BF0AA0" w:rsidRDefault="00BF0AA0" w:rsidP="00BF0AA0">
      <w:r>
        <w:separator/>
      </w:r>
    </w:p>
  </w:endnote>
  <w:endnote w:type="continuationSeparator" w:id="0">
    <w:p w14:paraId="7FF8C486" w14:textId="77777777" w:rsidR="00BF0AA0" w:rsidRDefault="00BF0AA0" w:rsidP="00BF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67F" w14:textId="30970FC4" w:rsidR="007231CB" w:rsidRPr="00EC1055" w:rsidRDefault="00DB639D" w:rsidP="00BF0AA0">
    <w:pPr>
      <w:pStyle w:val="Footer"/>
      <w:tabs>
        <w:tab w:val="clear" w:pos="4680"/>
        <w:tab w:val="clear" w:pos="9360"/>
        <w:tab w:val="center" w:pos="5400"/>
        <w:tab w:val="left" w:pos="8910"/>
      </w:tabs>
      <w:ind w:right="450"/>
      <w:rPr>
        <w:rFonts w:ascii="Arial Nova" w:hAnsi="Arial Nova"/>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D73A" w14:textId="77777777" w:rsidR="00BF0AA0" w:rsidRDefault="00BF0AA0" w:rsidP="00BF0AA0">
      <w:r>
        <w:separator/>
      </w:r>
    </w:p>
  </w:footnote>
  <w:footnote w:type="continuationSeparator" w:id="0">
    <w:p w14:paraId="4F9C2CBA" w14:textId="77777777" w:rsidR="00BF0AA0" w:rsidRDefault="00BF0AA0" w:rsidP="00BF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5"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94B81"/>
    <w:multiLevelType w:val="hybridMultilevel"/>
    <w:tmpl w:val="932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9"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F0C97"/>
    <w:multiLevelType w:val="hybridMultilevel"/>
    <w:tmpl w:val="7E3ADC12"/>
    <w:lvl w:ilvl="0" w:tplc="5A561E3A">
      <w:numFmt w:val="bullet"/>
      <w:lvlText w:val=""/>
      <w:lvlJc w:val="left"/>
      <w:pPr>
        <w:ind w:left="1732" w:hanging="396"/>
      </w:pPr>
      <w:rPr>
        <w:rFonts w:ascii="Symbol" w:eastAsia="Symbol" w:hAnsi="Symbol" w:cs="Symbol" w:hint="default"/>
        <w:w w:val="100"/>
        <w:sz w:val="24"/>
        <w:szCs w:val="24"/>
        <w:lang w:val="en-US" w:eastAsia="en-US" w:bidi="en-US"/>
      </w:rPr>
    </w:lvl>
    <w:lvl w:ilvl="1" w:tplc="F6A601FA">
      <w:numFmt w:val="bullet"/>
      <w:lvlText w:val="•"/>
      <w:lvlJc w:val="left"/>
      <w:pPr>
        <w:ind w:left="2678" w:hanging="396"/>
      </w:pPr>
      <w:rPr>
        <w:rFonts w:hint="default"/>
        <w:lang w:val="en-US" w:eastAsia="en-US" w:bidi="en-US"/>
      </w:rPr>
    </w:lvl>
    <w:lvl w:ilvl="2" w:tplc="562C634A">
      <w:numFmt w:val="bullet"/>
      <w:lvlText w:val="•"/>
      <w:lvlJc w:val="left"/>
      <w:pPr>
        <w:ind w:left="3616" w:hanging="396"/>
      </w:pPr>
      <w:rPr>
        <w:rFonts w:hint="default"/>
        <w:lang w:val="en-US" w:eastAsia="en-US" w:bidi="en-US"/>
      </w:rPr>
    </w:lvl>
    <w:lvl w:ilvl="3" w:tplc="65803996">
      <w:numFmt w:val="bullet"/>
      <w:lvlText w:val="•"/>
      <w:lvlJc w:val="left"/>
      <w:pPr>
        <w:ind w:left="4554" w:hanging="396"/>
      </w:pPr>
      <w:rPr>
        <w:rFonts w:hint="default"/>
        <w:lang w:val="en-US" w:eastAsia="en-US" w:bidi="en-US"/>
      </w:rPr>
    </w:lvl>
    <w:lvl w:ilvl="4" w:tplc="A67C71D6">
      <w:numFmt w:val="bullet"/>
      <w:lvlText w:val="•"/>
      <w:lvlJc w:val="left"/>
      <w:pPr>
        <w:ind w:left="5492" w:hanging="396"/>
      </w:pPr>
      <w:rPr>
        <w:rFonts w:hint="default"/>
        <w:lang w:val="en-US" w:eastAsia="en-US" w:bidi="en-US"/>
      </w:rPr>
    </w:lvl>
    <w:lvl w:ilvl="5" w:tplc="B994E848">
      <w:numFmt w:val="bullet"/>
      <w:lvlText w:val="•"/>
      <w:lvlJc w:val="left"/>
      <w:pPr>
        <w:ind w:left="6430" w:hanging="396"/>
      </w:pPr>
      <w:rPr>
        <w:rFonts w:hint="default"/>
        <w:lang w:val="en-US" w:eastAsia="en-US" w:bidi="en-US"/>
      </w:rPr>
    </w:lvl>
    <w:lvl w:ilvl="6" w:tplc="B8DA0CBC">
      <w:numFmt w:val="bullet"/>
      <w:lvlText w:val="•"/>
      <w:lvlJc w:val="left"/>
      <w:pPr>
        <w:ind w:left="7368" w:hanging="396"/>
      </w:pPr>
      <w:rPr>
        <w:rFonts w:hint="default"/>
        <w:lang w:val="en-US" w:eastAsia="en-US" w:bidi="en-US"/>
      </w:rPr>
    </w:lvl>
    <w:lvl w:ilvl="7" w:tplc="C37C0B20">
      <w:numFmt w:val="bullet"/>
      <w:lvlText w:val="•"/>
      <w:lvlJc w:val="left"/>
      <w:pPr>
        <w:ind w:left="8306" w:hanging="396"/>
      </w:pPr>
      <w:rPr>
        <w:rFonts w:hint="default"/>
        <w:lang w:val="en-US" w:eastAsia="en-US" w:bidi="en-US"/>
      </w:rPr>
    </w:lvl>
    <w:lvl w:ilvl="8" w:tplc="3A8678AC">
      <w:numFmt w:val="bullet"/>
      <w:lvlText w:val="•"/>
      <w:lvlJc w:val="left"/>
      <w:pPr>
        <w:ind w:left="9244" w:hanging="396"/>
      </w:pPr>
      <w:rPr>
        <w:rFonts w:hint="default"/>
        <w:lang w:val="en-US" w:eastAsia="en-US" w:bidi="en-US"/>
      </w:rPr>
    </w:lvl>
  </w:abstractNum>
  <w:abstractNum w:abstractNumId="14"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2C114A"/>
    <w:multiLevelType w:val="hybridMultilevel"/>
    <w:tmpl w:val="C88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C684C"/>
    <w:multiLevelType w:val="multilevel"/>
    <w:tmpl w:val="12F0E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24" w15:restartNumberingAfterBreak="0">
    <w:nsid w:val="6FF5632A"/>
    <w:multiLevelType w:val="hybridMultilevel"/>
    <w:tmpl w:val="F65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6"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1576C"/>
    <w:multiLevelType w:val="hybridMultilevel"/>
    <w:tmpl w:val="3EB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2"/>
  </w:num>
  <w:num w:numId="2" w16cid:durableId="529611241">
    <w:abstractNumId w:val="15"/>
  </w:num>
  <w:num w:numId="3" w16cid:durableId="1598559181">
    <w:abstractNumId w:val="16"/>
  </w:num>
  <w:num w:numId="4" w16cid:durableId="1692560826">
    <w:abstractNumId w:val="3"/>
  </w:num>
  <w:num w:numId="5" w16cid:durableId="1184441949">
    <w:abstractNumId w:val="12"/>
  </w:num>
  <w:num w:numId="6" w16cid:durableId="166928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3"/>
  </w:num>
  <w:num w:numId="10" w16cid:durableId="1397053356">
    <w:abstractNumId w:val="2"/>
  </w:num>
  <w:num w:numId="11" w16cid:durableId="1415083467">
    <w:abstractNumId w:val="25"/>
  </w:num>
  <w:num w:numId="12" w16cid:durableId="1184317965">
    <w:abstractNumId w:val="7"/>
  </w:num>
  <w:num w:numId="13" w16cid:durableId="1492326983">
    <w:abstractNumId w:val="0"/>
  </w:num>
  <w:num w:numId="14" w16cid:durableId="1218124983">
    <w:abstractNumId w:val="26"/>
  </w:num>
  <w:num w:numId="15" w16cid:durableId="1329556496">
    <w:abstractNumId w:val="9"/>
  </w:num>
  <w:num w:numId="16" w16cid:durableId="1758476127">
    <w:abstractNumId w:val="11"/>
  </w:num>
  <w:num w:numId="17" w16cid:durableId="1936018361">
    <w:abstractNumId w:val="19"/>
  </w:num>
  <w:num w:numId="18" w16cid:durableId="840313487">
    <w:abstractNumId w:val="10"/>
  </w:num>
  <w:num w:numId="19" w16cid:durableId="1843740030">
    <w:abstractNumId w:val="20"/>
  </w:num>
  <w:num w:numId="20" w16cid:durableId="966620268">
    <w:abstractNumId w:val="21"/>
  </w:num>
  <w:num w:numId="21" w16cid:durableId="1451973752">
    <w:abstractNumId w:val="18"/>
  </w:num>
  <w:num w:numId="22" w16cid:durableId="1075780307">
    <w:abstractNumId w:val="24"/>
  </w:num>
  <w:num w:numId="23" w16cid:durableId="1267810018">
    <w:abstractNumId w:val="27"/>
  </w:num>
  <w:num w:numId="24" w16cid:durableId="402411226">
    <w:abstractNumId w:val="6"/>
  </w:num>
  <w:num w:numId="25" w16cid:durableId="1073818737">
    <w:abstractNumId w:val="13"/>
  </w:num>
  <w:num w:numId="26" w16cid:durableId="1639530131">
    <w:abstractNumId w:val="4"/>
  </w:num>
  <w:num w:numId="27" w16cid:durableId="1380200700">
    <w:abstractNumId w:val="1"/>
  </w:num>
  <w:num w:numId="28" w16cid:durableId="2096513615">
    <w:abstractNumId w:val="17"/>
  </w:num>
  <w:num w:numId="29" w16cid:durableId="158886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67E30"/>
    <w:rsid w:val="000B266D"/>
    <w:rsid w:val="000E0AD9"/>
    <w:rsid w:val="000E6C41"/>
    <w:rsid w:val="00112B22"/>
    <w:rsid w:val="0014580B"/>
    <w:rsid w:val="001A39A0"/>
    <w:rsid w:val="001C37FC"/>
    <w:rsid w:val="00230541"/>
    <w:rsid w:val="002305E7"/>
    <w:rsid w:val="002524A3"/>
    <w:rsid w:val="0030081F"/>
    <w:rsid w:val="00326A89"/>
    <w:rsid w:val="00350816"/>
    <w:rsid w:val="004447A0"/>
    <w:rsid w:val="00456FA4"/>
    <w:rsid w:val="004704FC"/>
    <w:rsid w:val="00504831"/>
    <w:rsid w:val="00557A94"/>
    <w:rsid w:val="00576672"/>
    <w:rsid w:val="005A007D"/>
    <w:rsid w:val="005A57EC"/>
    <w:rsid w:val="005D7D3D"/>
    <w:rsid w:val="006C4115"/>
    <w:rsid w:val="00782FE7"/>
    <w:rsid w:val="007D5204"/>
    <w:rsid w:val="00813FFD"/>
    <w:rsid w:val="008743CC"/>
    <w:rsid w:val="008E0594"/>
    <w:rsid w:val="00906571"/>
    <w:rsid w:val="0093423B"/>
    <w:rsid w:val="009714A6"/>
    <w:rsid w:val="00977716"/>
    <w:rsid w:val="009B6B1F"/>
    <w:rsid w:val="00A07E97"/>
    <w:rsid w:val="00A159C4"/>
    <w:rsid w:val="00A16471"/>
    <w:rsid w:val="00A2570D"/>
    <w:rsid w:val="00A402C6"/>
    <w:rsid w:val="00A8318A"/>
    <w:rsid w:val="00AC707C"/>
    <w:rsid w:val="00B61904"/>
    <w:rsid w:val="00B70A98"/>
    <w:rsid w:val="00BD0484"/>
    <w:rsid w:val="00BF0AA0"/>
    <w:rsid w:val="00C478A6"/>
    <w:rsid w:val="00C659D1"/>
    <w:rsid w:val="00C754FD"/>
    <w:rsid w:val="00C8152F"/>
    <w:rsid w:val="00CC3D99"/>
    <w:rsid w:val="00CE7B05"/>
    <w:rsid w:val="00CF1FD5"/>
    <w:rsid w:val="00D055E1"/>
    <w:rsid w:val="00D07307"/>
    <w:rsid w:val="00D60C69"/>
    <w:rsid w:val="00D8301F"/>
    <w:rsid w:val="00DB639D"/>
    <w:rsid w:val="00DC05FC"/>
    <w:rsid w:val="00E961EC"/>
    <w:rsid w:val="00EF18D7"/>
    <w:rsid w:val="00F02A1B"/>
    <w:rsid w:val="00F42DC6"/>
    <w:rsid w:val="00FB7CF2"/>
    <w:rsid w:val="00FC69B8"/>
    <w:rsid w:val="00F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2F"/>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26A89"/>
    <w:pPr>
      <w:widowControl w:val="0"/>
      <w:tabs>
        <w:tab w:val="center" w:pos="4680"/>
        <w:tab w:val="right" w:pos="9360"/>
      </w:tabs>
      <w:autoSpaceDE w:val="0"/>
      <w:autoSpaceDN w:val="0"/>
    </w:pPr>
    <w:rPr>
      <w:rFonts w:ascii="Calibri" w:eastAsia="Calibri" w:hAnsi="Calibri" w:cs="Calibri"/>
      <w:lang w:bidi="en-US"/>
    </w:rPr>
  </w:style>
  <w:style w:type="character" w:customStyle="1" w:styleId="FooterChar">
    <w:name w:val="Footer Char"/>
    <w:basedOn w:val="DefaultParagraphFont"/>
    <w:link w:val="Footer"/>
    <w:uiPriority w:val="99"/>
    <w:rsid w:val="00326A89"/>
    <w:rPr>
      <w:rFonts w:ascii="Calibri" w:eastAsia="Calibri" w:hAnsi="Calibri" w:cs="Calibri"/>
      <w:lang w:bidi="en-US"/>
    </w:rPr>
  </w:style>
  <w:style w:type="paragraph" w:styleId="Header">
    <w:name w:val="header"/>
    <w:basedOn w:val="Normal"/>
    <w:link w:val="HeaderChar"/>
    <w:uiPriority w:val="99"/>
    <w:unhideWhenUsed/>
    <w:rsid w:val="00BF0AA0"/>
    <w:pPr>
      <w:tabs>
        <w:tab w:val="center" w:pos="4680"/>
        <w:tab w:val="right" w:pos="9360"/>
      </w:tabs>
    </w:pPr>
  </w:style>
  <w:style w:type="character" w:customStyle="1" w:styleId="HeaderChar">
    <w:name w:val="Header Char"/>
    <w:basedOn w:val="DefaultParagraphFont"/>
    <w:link w:val="Header"/>
    <w:uiPriority w:val="99"/>
    <w:rsid w:val="00BF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831</Characters>
  <Application>Microsoft Office Word</Application>
  <DocSecurity>0</DocSecurity>
  <Lines>18</Lines>
  <Paragraphs>13</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2022-07-03T17:25:00Z</cp:lastPrinted>
  <dcterms:created xsi:type="dcterms:W3CDTF">2022-07-03T17:26:00Z</dcterms:created>
  <dcterms:modified xsi:type="dcterms:W3CDTF">2022-07-03T17:26:00Z</dcterms:modified>
</cp:coreProperties>
</file>