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E406" w14:textId="77777777" w:rsidR="00AD4646" w:rsidRPr="0065173E" w:rsidRDefault="00AD4646" w:rsidP="00AD4646">
      <w:pPr>
        <w:widowControl/>
        <w:adjustRightInd w:val="0"/>
        <w:jc w:val="center"/>
        <w:rPr>
          <w:rFonts w:ascii="Josefin Sans" w:eastAsia="ArialMT" w:hAnsi="Josefin Sans" w:cs="Microsoft Sans Serif"/>
          <w:b/>
          <w:bCs/>
          <w:color w:val="1A3E6F"/>
          <w:sz w:val="40"/>
          <w:szCs w:val="40"/>
          <w:lang w:bidi="ar-SA"/>
        </w:rPr>
      </w:pPr>
      <w:bookmarkStart w:id="0" w:name="refelctionsprogram"/>
      <w:bookmarkStart w:id="1" w:name="newsletteraward"/>
      <w:r w:rsidRPr="0065173E">
        <w:rPr>
          <w:rFonts w:ascii="Josefin Sans" w:hAnsi="Josefin Sans" w:cs="Microsoft Sans Serif"/>
          <w:noProof/>
          <w:color w:val="1A3E6F"/>
          <w:sz w:val="40"/>
          <w:szCs w:val="40"/>
        </w:rPr>
        <w:drawing>
          <wp:anchor distT="0" distB="0" distL="114300" distR="114300" simplePos="0" relativeHeight="251676672" behindDoc="0" locked="0" layoutInCell="1" allowOverlap="1" wp14:anchorId="660B9BCB" wp14:editId="6664A3A5">
            <wp:simplePos x="0" y="0"/>
            <wp:positionH relativeFrom="margin">
              <wp:posOffset>0</wp:posOffset>
            </wp:positionH>
            <wp:positionV relativeFrom="margin">
              <wp:posOffset>0</wp:posOffset>
            </wp:positionV>
            <wp:extent cx="1387986" cy="525780"/>
            <wp:effectExtent l="0" t="0" r="3175" b="7620"/>
            <wp:wrapNone/>
            <wp:docPr id="4294" name="Picture 429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hqprint">
                      <a:extLst>
                        <a:ext uri="{28A0092B-C50C-407E-A947-70E740481C1C}">
                          <a14:useLocalDpi xmlns:a14="http://schemas.microsoft.com/office/drawing/2010/main"/>
                        </a:ext>
                      </a:extLst>
                    </a:blip>
                    <a:stretch>
                      <a:fillRect/>
                    </a:stretch>
                  </pic:blipFill>
                  <pic:spPr>
                    <a:xfrm>
                      <a:off x="0" y="0"/>
                      <a:ext cx="1387986" cy="525780"/>
                    </a:xfrm>
                    <a:prstGeom prst="rect">
                      <a:avLst/>
                    </a:prstGeom>
                  </pic:spPr>
                </pic:pic>
              </a:graphicData>
            </a:graphic>
            <wp14:sizeRelH relativeFrom="margin">
              <wp14:pctWidth>0</wp14:pctWidth>
            </wp14:sizeRelH>
            <wp14:sizeRelV relativeFrom="margin">
              <wp14:pctHeight>0</wp14:pctHeight>
            </wp14:sizeRelV>
          </wp:anchor>
        </w:drawing>
      </w:r>
      <w:r w:rsidRPr="0065173E">
        <w:rPr>
          <w:rFonts w:ascii="Josefin Sans" w:hAnsi="Josefin Sans" w:cs="Microsoft Sans Serif"/>
          <w:b/>
          <w:color w:val="1A3E6F"/>
          <w:sz w:val="40"/>
        </w:rPr>
        <w:t>OUTSTANDING PTA</w:t>
      </w:r>
      <w:r w:rsidRPr="0065173E">
        <w:rPr>
          <w:rFonts w:ascii="Josefin Sans" w:eastAsia="ArialMT" w:hAnsi="Josefin Sans" w:cs="Microsoft Sans Serif"/>
          <w:b/>
          <w:bCs/>
          <w:color w:val="1A3E6F"/>
          <w:sz w:val="40"/>
          <w:szCs w:val="40"/>
          <w:lang w:bidi="ar-SA"/>
        </w:rPr>
        <w:t xml:space="preserve"> </w:t>
      </w:r>
    </w:p>
    <w:p w14:paraId="7C31875A" w14:textId="77777777" w:rsidR="00AD4646" w:rsidRPr="0065173E" w:rsidRDefault="00AD4646" w:rsidP="00AD4646">
      <w:pPr>
        <w:widowControl/>
        <w:adjustRightInd w:val="0"/>
        <w:jc w:val="center"/>
        <w:rPr>
          <w:rFonts w:ascii="Josefin Sans" w:eastAsia="ArialMT" w:hAnsi="Josefin Sans" w:cs="Microsoft Sans Serif"/>
          <w:b/>
          <w:bCs/>
          <w:color w:val="1A3E6F"/>
          <w:sz w:val="40"/>
          <w:szCs w:val="40"/>
          <w:lang w:bidi="ar-SA"/>
        </w:rPr>
      </w:pPr>
      <w:r w:rsidRPr="0065173E">
        <w:rPr>
          <w:rFonts w:ascii="Josefin Sans" w:eastAsia="ArialMT" w:hAnsi="Josefin Sans" w:cs="Microsoft Sans Serif"/>
          <w:b/>
          <w:bCs/>
          <w:color w:val="1A3E6F"/>
          <w:sz w:val="40"/>
          <w:szCs w:val="40"/>
          <w:lang w:bidi="ar-SA"/>
        </w:rPr>
        <w:t>NEWSLETTER AWARD</w:t>
      </w:r>
    </w:p>
    <w:bookmarkEnd w:id="1"/>
    <w:p w14:paraId="13228B59" w14:textId="77777777" w:rsidR="00AD4646" w:rsidRPr="0065173E" w:rsidRDefault="00AD4646" w:rsidP="00AD4646">
      <w:pPr>
        <w:widowControl/>
        <w:tabs>
          <w:tab w:val="right" w:pos="10800"/>
        </w:tabs>
        <w:autoSpaceDE/>
        <w:autoSpaceDN/>
        <w:rPr>
          <w:rFonts w:ascii="Atkinson Hyperlegible" w:hAnsi="Atkinson Hyperlegible" w:cs="Microsoft Sans Serif"/>
          <w:bCs/>
          <w:color w:val="000000" w:themeColor="text1"/>
          <w:szCs w:val="12"/>
        </w:rPr>
      </w:pPr>
      <w:r w:rsidRPr="0065173E">
        <w:rPr>
          <w:rFonts w:ascii="Atkinson Hyperlegible" w:hAnsi="Atkinson Hyperlegible" w:cs="Microsoft Sans Serif"/>
          <w:bCs/>
          <w:color w:val="000000" w:themeColor="text1"/>
          <w:szCs w:val="12"/>
        </w:rPr>
        <w:t>Application Deadline: February 1, 2023</w:t>
      </w:r>
      <w:r w:rsidRPr="0065173E">
        <w:rPr>
          <w:rFonts w:ascii="Atkinson Hyperlegible" w:hAnsi="Atkinson Hyperlegible" w:cs="Microsoft Sans Serif"/>
          <w:bCs/>
          <w:color w:val="000000" w:themeColor="text1"/>
          <w:szCs w:val="12"/>
        </w:rPr>
        <w:tab/>
        <w:t xml:space="preserve">Apply at: </w:t>
      </w:r>
      <w:hyperlink r:id="rId8" w:history="1">
        <w:r w:rsidRPr="0065173E">
          <w:rPr>
            <w:rStyle w:val="Hyperlink"/>
            <w:rFonts w:ascii="Atkinson Hyperlegible" w:hAnsi="Atkinson Hyperlegible"/>
            <w:lang w:bidi="ar-SA"/>
          </w:rPr>
          <w:t>https://form.jotform.com/221745628447059</w:t>
        </w:r>
      </w:hyperlink>
    </w:p>
    <w:p w14:paraId="2F488E5B" w14:textId="77777777" w:rsidR="00AD4646" w:rsidRPr="0065173E" w:rsidRDefault="00AD4646" w:rsidP="00AD4646">
      <w:pPr>
        <w:widowControl/>
        <w:tabs>
          <w:tab w:val="right" w:pos="10800"/>
        </w:tabs>
        <w:autoSpaceDE/>
        <w:autoSpaceDN/>
        <w:rPr>
          <w:rFonts w:ascii="Atkinson Hyperlegible" w:hAnsi="Atkinson Hyperlegible" w:cs="Microsoft Sans Serif"/>
          <w:bCs/>
          <w:color w:val="000000" w:themeColor="text1"/>
          <w:szCs w:val="12"/>
        </w:rPr>
      </w:pPr>
      <w:r w:rsidRPr="0065173E">
        <w:rPr>
          <w:rFonts w:ascii="Atkinson Hyperlegible" w:hAnsi="Atkinson Hyperlegible" w:cs="Microsoft Sans Serif"/>
          <w:bCs/>
          <w:color w:val="000000" w:themeColor="text1"/>
          <w:szCs w:val="12"/>
        </w:rPr>
        <w:t>Winners Announced: March 25, 2023</w:t>
      </w:r>
      <w:r w:rsidRPr="0065173E">
        <w:rPr>
          <w:rFonts w:ascii="Atkinson Hyperlegible" w:hAnsi="Atkinson Hyperlegible" w:cs="Microsoft Sans Serif"/>
          <w:bCs/>
          <w:color w:val="000000" w:themeColor="text1"/>
          <w:szCs w:val="12"/>
        </w:rPr>
        <w:tab/>
        <w:t>Quantity Offered: 3</w:t>
      </w:r>
    </w:p>
    <w:p w14:paraId="0D89F54E" w14:textId="77777777" w:rsidR="00AD4646" w:rsidRPr="0065173E" w:rsidRDefault="00AD4646" w:rsidP="00AD4646">
      <w:pPr>
        <w:jc w:val="both"/>
        <w:rPr>
          <w:rFonts w:ascii="Atkinson Hyperlegible" w:hAnsi="Atkinson Hyperlegible"/>
          <w:lang w:bidi="ar-SA"/>
        </w:rPr>
      </w:pPr>
    </w:p>
    <w:p w14:paraId="00946650" w14:textId="77777777" w:rsidR="00AD4646" w:rsidRPr="0065173E" w:rsidRDefault="00AD4646" w:rsidP="00AD4646">
      <w:pPr>
        <w:jc w:val="both"/>
        <w:rPr>
          <w:rFonts w:ascii="Atkinson Hyperlegible" w:hAnsi="Atkinson Hyperlegible"/>
          <w:lang w:bidi="ar-SA"/>
        </w:rPr>
      </w:pPr>
      <w:r w:rsidRPr="0065173E">
        <w:rPr>
          <w:rFonts w:ascii="Atkinson Hyperlegible" w:hAnsi="Atkinson Hyperlegible"/>
          <w:lang w:bidi="ar-SA"/>
        </w:rPr>
        <w:t>Louisiana PTA encourages all units to communicate with their members and community in some form whether it be a printed</w:t>
      </w:r>
      <w:r>
        <w:rPr>
          <w:rFonts w:ascii="Atkinson Hyperlegible" w:hAnsi="Atkinson Hyperlegible"/>
          <w:lang w:bidi="ar-SA"/>
        </w:rPr>
        <w:t xml:space="preserve"> newsletter, </w:t>
      </w:r>
      <w:r w:rsidRPr="0065173E">
        <w:rPr>
          <w:rFonts w:ascii="Atkinson Hyperlegible" w:hAnsi="Atkinson Hyperlegible"/>
          <w:lang w:bidi="ar-SA"/>
        </w:rPr>
        <w:t>electronic newsletter</w:t>
      </w:r>
      <w:r>
        <w:rPr>
          <w:rFonts w:ascii="Atkinson Hyperlegible" w:hAnsi="Atkinson Hyperlegible"/>
          <w:lang w:bidi="ar-SA"/>
        </w:rPr>
        <w:t>,</w:t>
      </w:r>
      <w:r w:rsidRPr="0065173E">
        <w:rPr>
          <w:rFonts w:ascii="Atkinson Hyperlegible" w:hAnsi="Atkinson Hyperlegible"/>
          <w:lang w:bidi="ar-SA"/>
        </w:rPr>
        <w:t xml:space="preserve"> or email</w:t>
      </w:r>
      <w:r>
        <w:rPr>
          <w:rFonts w:ascii="Atkinson Hyperlegible" w:hAnsi="Atkinson Hyperlegible"/>
          <w:lang w:bidi="ar-SA"/>
        </w:rPr>
        <w:t xml:space="preserve"> blast</w:t>
      </w:r>
      <w:r w:rsidRPr="0065173E">
        <w:rPr>
          <w:rFonts w:ascii="Atkinson Hyperlegible" w:hAnsi="Atkinson Hyperlegible"/>
          <w:lang w:bidi="ar-SA"/>
        </w:rPr>
        <w:t xml:space="preserve">. A newsletter is a great way to exchange news and ideas to bring PTA members closer to each other, to the school, and to all levels of PTA. Communicating information </w:t>
      </w:r>
      <w:r>
        <w:rPr>
          <w:rFonts w:ascii="Atkinson Hyperlegible" w:hAnsi="Atkinson Hyperlegible"/>
          <w:lang w:bidi="ar-SA"/>
        </w:rPr>
        <w:t xml:space="preserve">is </w:t>
      </w:r>
      <w:r w:rsidRPr="0065173E">
        <w:rPr>
          <w:rFonts w:ascii="Atkinson Hyperlegible" w:hAnsi="Atkinson Hyperlegible"/>
          <w:lang w:bidi="ar-SA"/>
        </w:rPr>
        <w:t xml:space="preserve">a vital part of our personal and professional lives, and newsletters play a major role in that process. </w:t>
      </w:r>
    </w:p>
    <w:p w14:paraId="5825CEA6" w14:textId="77777777" w:rsidR="00AD4646" w:rsidRPr="0065173E" w:rsidRDefault="00AD4646" w:rsidP="00AD4646">
      <w:pPr>
        <w:rPr>
          <w:rFonts w:ascii="Atkinson Hyperlegible" w:hAnsi="Atkinson Hyperlegible"/>
          <w:lang w:bidi="ar-SA"/>
        </w:rPr>
      </w:pPr>
    </w:p>
    <w:p w14:paraId="3D758A00" w14:textId="77777777" w:rsidR="00AD4646" w:rsidRPr="0065173E" w:rsidRDefault="00AD4646" w:rsidP="00AD4646">
      <w:pPr>
        <w:jc w:val="both"/>
        <w:rPr>
          <w:rFonts w:ascii="Atkinson Hyperlegible" w:hAnsi="Atkinson Hyperlegible"/>
          <w:lang w:bidi="ar-SA"/>
        </w:rPr>
      </w:pPr>
      <w:r w:rsidRPr="0065173E">
        <w:rPr>
          <w:rFonts w:ascii="Atkinson Hyperlegible" w:hAnsi="Atkinson Hyperlegible"/>
          <w:lang w:bidi="ar-SA"/>
        </w:rPr>
        <w:t>Newsletters should be distributed to your entire school population by electronic communication, mail, or sent home with students. PTA membership should never determine if someone receives a newsletter. The name of the communication must identify that it is published by the PTA. The nameplate helps identify the newsletter, communicate its purpose, and invite recipients to read it. Keep your newsletter interesting, accurate, timely, and easy to read. Get an editor who is organized and diligent with excellent writing skills. There is no better way to get a parent to read a newsletter than by including their child's name in it.</w:t>
      </w:r>
    </w:p>
    <w:p w14:paraId="613C032E" w14:textId="77777777" w:rsidR="00AD4646" w:rsidRPr="0065173E" w:rsidRDefault="00AD4646" w:rsidP="00AD4646">
      <w:pPr>
        <w:jc w:val="both"/>
        <w:rPr>
          <w:rFonts w:ascii="Atkinson Hyperlegible" w:hAnsi="Atkinson Hyperlegible"/>
          <w:lang w:bidi="ar-SA"/>
        </w:rPr>
      </w:pPr>
    </w:p>
    <w:p w14:paraId="5652EC1A" w14:textId="77777777" w:rsidR="00AD4646" w:rsidRPr="0065173E" w:rsidRDefault="00AD4646" w:rsidP="00AD4646">
      <w:pPr>
        <w:tabs>
          <w:tab w:val="left" w:pos="1412"/>
          <w:tab w:val="left" w:pos="1413"/>
        </w:tabs>
        <w:rPr>
          <w:rFonts w:ascii="Atkinson Hyperlegible" w:hAnsi="Atkinson Hyperlegible"/>
          <w:b/>
          <w:bCs/>
          <w:sz w:val="32"/>
          <w:szCs w:val="32"/>
          <w:lang w:bidi="ar-SA"/>
        </w:rPr>
      </w:pPr>
      <w:r w:rsidRPr="0065173E">
        <w:rPr>
          <w:rFonts w:ascii="Atkinson Hyperlegible" w:hAnsi="Atkinson Hyperlegible"/>
          <w:b/>
          <w:bCs/>
          <w:sz w:val="32"/>
          <w:szCs w:val="32"/>
          <w:lang w:bidi="ar-SA"/>
        </w:rPr>
        <w:t>Judge’s Rubric (130 Possible Points)</w:t>
      </w:r>
    </w:p>
    <w:p w14:paraId="46388CF8" w14:textId="77777777" w:rsidR="00AD4646" w:rsidRPr="0065173E" w:rsidRDefault="00AD4646" w:rsidP="00AD4646">
      <w:pPr>
        <w:pStyle w:val="ListParagraph"/>
        <w:numPr>
          <w:ilvl w:val="0"/>
          <w:numId w:val="26"/>
        </w:numPr>
        <w:ind w:left="360"/>
        <w:jc w:val="both"/>
        <w:rPr>
          <w:rFonts w:ascii="Atkinson Hyperlegible" w:hAnsi="Atkinson Hyperlegible"/>
          <w:lang w:bidi="ar-SA"/>
        </w:rPr>
      </w:pPr>
      <w:r w:rsidRPr="0065173E">
        <w:rPr>
          <w:rFonts w:ascii="Atkinson Hyperlegible" w:hAnsi="Atkinson Hyperlegible"/>
          <w:b/>
          <w:lang w:bidi="ar-SA"/>
        </w:rPr>
        <w:t xml:space="preserve">General Design (25 points possible): </w:t>
      </w:r>
      <w:r w:rsidRPr="0065173E">
        <w:rPr>
          <w:rFonts w:ascii="Atkinson Hyperlegible" w:hAnsi="Atkinson Hyperlegible"/>
          <w:lang w:bidi="ar-SA"/>
        </w:rPr>
        <w:t>Frequency (5); simple, easy to read, clear copy, well-spaced (5); accurate and timely (5); interesting to students and parents (5); attractive layout and space utilized for PTA needs (5)</w:t>
      </w:r>
    </w:p>
    <w:p w14:paraId="0284D2AD" w14:textId="77777777" w:rsidR="00AD4646" w:rsidRPr="0065173E" w:rsidRDefault="00AD4646" w:rsidP="00AD4646">
      <w:pPr>
        <w:pStyle w:val="ListParagraph"/>
        <w:numPr>
          <w:ilvl w:val="0"/>
          <w:numId w:val="26"/>
        </w:numPr>
        <w:ind w:left="360"/>
        <w:jc w:val="both"/>
        <w:rPr>
          <w:rFonts w:ascii="Atkinson Hyperlegible" w:hAnsi="Atkinson Hyperlegible"/>
          <w:lang w:bidi="ar-SA"/>
        </w:rPr>
      </w:pPr>
      <w:r w:rsidRPr="0065173E">
        <w:rPr>
          <w:rFonts w:ascii="Atkinson Hyperlegible" w:hAnsi="Atkinson Hyperlegible"/>
          <w:b/>
          <w:lang w:bidi="ar-SA"/>
        </w:rPr>
        <w:t xml:space="preserve">Regular Articles (50 points possible): </w:t>
      </w:r>
      <w:r w:rsidRPr="0065173E">
        <w:rPr>
          <w:rFonts w:ascii="Atkinson Hyperlegible" w:hAnsi="Atkinson Hyperlegible"/>
          <w:lang w:bidi="ar-SA"/>
        </w:rPr>
        <w:t>President’s monthly message (10); Principal’s monthly message (5); monthly calendar of events (5); other PTA news like programs, progress or reports of current PTA events or officers (10); school news like messages from Superintendent, School Board members, and counselors, and events such as athletics, clubs, meetings, and assemblies, (10); National and Louisiana PTA news (10)</w:t>
      </w:r>
    </w:p>
    <w:p w14:paraId="3C92DC63" w14:textId="77777777" w:rsidR="00AD4646" w:rsidRPr="0065173E" w:rsidRDefault="00AD4646" w:rsidP="00AD4646">
      <w:pPr>
        <w:pStyle w:val="ListParagraph"/>
        <w:numPr>
          <w:ilvl w:val="0"/>
          <w:numId w:val="26"/>
        </w:numPr>
        <w:ind w:left="360"/>
        <w:jc w:val="both"/>
        <w:rPr>
          <w:rFonts w:ascii="Atkinson Hyperlegible" w:hAnsi="Atkinson Hyperlegible"/>
          <w:lang w:bidi="ar-SA"/>
        </w:rPr>
      </w:pPr>
      <w:r w:rsidRPr="0065173E">
        <w:rPr>
          <w:rFonts w:ascii="Atkinson Hyperlegible" w:hAnsi="Atkinson Hyperlegible"/>
          <w:b/>
          <w:lang w:bidi="ar-SA"/>
        </w:rPr>
        <w:t xml:space="preserve">Special Feature Articles (40 points possible): </w:t>
      </w:r>
      <w:r w:rsidRPr="0065173E">
        <w:rPr>
          <w:rFonts w:ascii="Atkinson Hyperlegible" w:hAnsi="Atkinson Hyperlegible"/>
          <w:lang w:bidi="ar-SA"/>
        </w:rPr>
        <w:t>Classroom or school projects (5); educational workshops for Parents/Students (5); parent education articles (5); special events/workshops (5); student/teacher recognition (5); volunteer recognition (5); State/National PTA Convention (5); news from other advocacy groups and individuals (5)</w:t>
      </w:r>
    </w:p>
    <w:p w14:paraId="691D9BE1" w14:textId="77777777" w:rsidR="00AD4646" w:rsidRPr="0065173E" w:rsidRDefault="00AD4646" w:rsidP="00AD4646">
      <w:pPr>
        <w:pStyle w:val="ListParagraph"/>
        <w:numPr>
          <w:ilvl w:val="0"/>
          <w:numId w:val="26"/>
        </w:numPr>
        <w:ind w:left="360"/>
        <w:rPr>
          <w:rFonts w:ascii="Atkinson Hyperlegible" w:hAnsi="Atkinson Hyperlegible"/>
          <w:lang w:bidi="ar-SA"/>
        </w:rPr>
      </w:pPr>
      <w:r w:rsidRPr="0065173E">
        <w:rPr>
          <w:rFonts w:ascii="Atkinson Hyperlegible" w:hAnsi="Atkinson Hyperlegible"/>
          <w:b/>
          <w:bCs/>
          <w:lang w:bidi="ar-SA"/>
        </w:rPr>
        <w:t xml:space="preserve">Extra Credit (15 points possible): </w:t>
      </w:r>
      <w:r w:rsidRPr="0065173E">
        <w:rPr>
          <w:rFonts w:ascii="Atkinson Hyperlegible" w:hAnsi="Atkinson Hyperlegible"/>
          <w:lang w:bidi="ar-SA"/>
        </w:rPr>
        <w:t>Student photos or drawings (5); table of contents (5); positive features not covered in above areas (5)</w:t>
      </w:r>
    </w:p>
    <w:p w14:paraId="2FF1F662" w14:textId="77777777" w:rsidR="00AD4646" w:rsidRPr="0065173E" w:rsidRDefault="00AD4646" w:rsidP="00AD4646">
      <w:pPr>
        <w:rPr>
          <w:rFonts w:ascii="Atkinson Hyperlegible" w:hAnsi="Atkinson Hyperlegible"/>
          <w:lang w:bidi="ar-SA"/>
        </w:rPr>
      </w:pPr>
    </w:p>
    <w:p w14:paraId="7085D9CD" w14:textId="77777777" w:rsidR="00AD4646" w:rsidRPr="0065173E" w:rsidRDefault="00AD4646" w:rsidP="00AD4646">
      <w:pPr>
        <w:jc w:val="both"/>
        <w:rPr>
          <w:rFonts w:ascii="Atkinson Hyperlegible" w:hAnsi="Atkinson Hyperlegible"/>
          <w:sz w:val="32"/>
          <w:szCs w:val="32"/>
          <w:lang w:bidi="ar-SA"/>
        </w:rPr>
      </w:pPr>
      <w:r w:rsidRPr="0065173E">
        <w:rPr>
          <w:rFonts w:ascii="Atkinson Hyperlegible" w:hAnsi="Atkinson Hyperlegible"/>
          <w:b/>
          <w:bCs/>
          <w:sz w:val="32"/>
          <w:szCs w:val="32"/>
          <w:lang w:bidi="ar-SA"/>
        </w:rPr>
        <w:t>To Apply for the Award</w:t>
      </w:r>
    </w:p>
    <w:p w14:paraId="5A018342" w14:textId="77777777" w:rsidR="00AD4646" w:rsidRPr="0065173E" w:rsidRDefault="00AD4646" w:rsidP="00AD4646">
      <w:pPr>
        <w:pStyle w:val="ListParagraph"/>
        <w:numPr>
          <w:ilvl w:val="0"/>
          <w:numId w:val="25"/>
        </w:numPr>
        <w:ind w:left="1800"/>
        <w:jc w:val="both"/>
        <w:rPr>
          <w:rFonts w:ascii="Atkinson Hyperlegible" w:hAnsi="Atkinson Hyperlegible"/>
          <w:lang w:bidi="ar-SA"/>
        </w:rPr>
      </w:pPr>
      <w:r w:rsidRPr="0065173E">
        <w:rPr>
          <w:rFonts w:ascii="Atkinson Hyperlegible" w:hAnsi="Atkinson Hyperlegible"/>
          <w:noProof/>
          <w:lang w:bidi="ar-SA"/>
        </w:rPr>
        <w:drawing>
          <wp:anchor distT="0" distB="0" distL="114300" distR="114300" simplePos="0" relativeHeight="251677696" behindDoc="0" locked="0" layoutInCell="1" allowOverlap="1" wp14:anchorId="3DE6D62C" wp14:editId="5BB318AB">
            <wp:simplePos x="0" y="0"/>
            <wp:positionH relativeFrom="margin">
              <wp:align>left</wp:align>
            </wp:positionH>
            <wp:positionV relativeFrom="paragraph">
              <wp:posOffset>296545</wp:posOffset>
            </wp:positionV>
            <wp:extent cx="777875" cy="777875"/>
            <wp:effectExtent l="0" t="0" r="3175" b="3175"/>
            <wp:wrapThrough wrapText="bothSides">
              <wp:wrapPolygon edited="0">
                <wp:start x="0" y="0"/>
                <wp:lineTo x="0" y="21159"/>
                <wp:lineTo x="21159" y="21159"/>
                <wp:lineTo x="21159" y="0"/>
                <wp:lineTo x="0" y="0"/>
              </wp:wrapPolygon>
            </wp:wrapThrough>
            <wp:docPr id="4299" name="Picture 429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9" name="Picture 4299"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77875" cy="777875"/>
                    </a:xfrm>
                    <a:prstGeom prst="rect">
                      <a:avLst/>
                    </a:prstGeom>
                  </pic:spPr>
                </pic:pic>
              </a:graphicData>
            </a:graphic>
            <wp14:sizeRelH relativeFrom="margin">
              <wp14:pctWidth>0</wp14:pctWidth>
            </wp14:sizeRelH>
            <wp14:sizeRelV relativeFrom="margin">
              <wp14:pctHeight>0</wp14:pctHeight>
            </wp14:sizeRelV>
          </wp:anchor>
        </w:drawing>
      </w:r>
      <w:r w:rsidRPr="0065173E">
        <w:rPr>
          <w:rFonts w:ascii="Atkinson Hyperlegible" w:hAnsi="Atkinson Hyperlegible"/>
          <w:lang w:bidi="ar-SA"/>
        </w:rPr>
        <w:t>Collect all publications from July 1, 2022, through February 1, 2023, in chronological order and combine them into one PDF. A minimum of three publications is required. Only PTA newsletters or email</w:t>
      </w:r>
      <w:r>
        <w:rPr>
          <w:rFonts w:ascii="Atkinson Hyperlegible" w:hAnsi="Atkinson Hyperlegible"/>
          <w:lang w:bidi="ar-SA"/>
        </w:rPr>
        <w:t xml:space="preserve">s </w:t>
      </w:r>
      <w:r w:rsidRPr="0065173E">
        <w:rPr>
          <w:rFonts w:ascii="Atkinson Hyperlegible" w:hAnsi="Atkinson Hyperlegible"/>
          <w:lang w:bidi="ar-SA"/>
        </w:rPr>
        <w:t>may be entered. See the Judge’s Rubric for content ideas.</w:t>
      </w:r>
    </w:p>
    <w:p w14:paraId="07156980" w14:textId="77777777" w:rsidR="00AD4646" w:rsidRPr="0065173E" w:rsidRDefault="00AD4646" w:rsidP="00AD4646">
      <w:pPr>
        <w:pStyle w:val="ListParagraph"/>
        <w:numPr>
          <w:ilvl w:val="0"/>
          <w:numId w:val="25"/>
        </w:numPr>
        <w:ind w:left="1800"/>
        <w:jc w:val="both"/>
        <w:rPr>
          <w:rFonts w:ascii="Atkinson Hyperlegible" w:hAnsi="Atkinson Hyperlegible"/>
          <w:lang w:bidi="ar-SA"/>
        </w:rPr>
      </w:pPr>
      <w:r w:rsidRPr="0065173E">
        <w:rPr>
          <w:rFonts w:ascii="Atkinson Hyperlegible" w:hAnsi="Atkinson Hyperlegible"/>
          <w:lang w:bidi="ar-SA"/>
        </w:rPr>
        <w:t xml:space="preserve">Go to </w:t>
      </w:r>
      <w:hyperlink r:id="rId10" w:history="1">
        <w:r w:rsidRPr="0065173E">
          <w:rPr>
            <w:rStyle w:val="Hyperlink"/>
            <w:rFonts w:ascii="Atkinson Hyperlegible" w:hAnsi="Atkinson Hyperlegible"/>
            <w:lang w:bidi="ar-SA"/>
          </w:rPr>
          <w:t>https://form.jotform.com/221745628447059</w:t>
        </w:r>
      </w:hyperlink>
      <w:r w:rsidRPr="0065173E">
        <w:rPr>
          <w:rFonts w:ascii="Atkinson Hyperlegible" w:hAnsi="Atkinson Hyperlegible"/>
          <w:lang w:bidi="ar-SA"/>
        </w:rPr>
        <w:t xml:space="preserve"> or scan the QR code. Complete the information and upload the document at the LAPTA Outstanding PTA Newsletter Award Application by February 1, 2023. Information you will need is PTA Name, LUR#, school name and address, contact’s email and phone, editor’s name, and total publications between July 1, 2022, and February 1, 2023. Winners will be announced on March 25, 2023.</w:t>
      </w:r>
    </w:p>
    <w:bookmarkEnd w:id="0"/>
    <w:p w14:paraId="39D1994C" w14:textId="78D418B4" w:rsidR="00AD4646" w:rsidRPr="00AD4646" w:rsidRDefault="00AD4646" w:rsidP="00AD4646">
      <w:pPr>
        <w:widowControl/>
        <w:autoSpaceDE/>
        <w:autoSpaceDN/>
        <w:rPr>
          <w:rFonts w:ascii="Atkinson Hyperlegible" w:hAnsi="Atkinson Hyperlegible"/>
          <w:b/>
          <w:lang w:bidi="ar-SA"/>
        </w:rPr>
      </w:pPr>
    </w:p>
    <w:p w14:paraId="08BAF23A" w14:textId="35911B36" w:rsidR="00B77152" w:rsidRPr="00B870EB" w:rsidRDefault="00FD6B79" w:rsidP="00AD4646">
      <w:pPr>
        <w:widowControl/>
        <w:autoSpaceDE/>
        <w:autoSpaceDN/>
        <w:jc w:val="both"/>
      </w:pPr>
      <w:r w:rsidRPr="0012072B">
        <w:rPr>
          <w:rFonts w:ascii="Atkinson Hyperlegible" w:hAnsi="Atkinson Hyperlegible" w:cs="Microsoft Sans Serif"/>
          <w:bCs/>
          <w:color w:val="000000" w:themeColor="text1"/>
          <w:szCs w:val="12"/>
        </w:rPr>
        <w:t xml:space="preserve"> </w:t>
      </w:r>
    </w:p>
    <w:sectPr w:rsidR="00B77152" w:rsidRPr="00B870EB" w:rsidSect="005E179C">
      <w:type w:val="continuous"/>
      <w:pgSz w:w="12240" w:h="15840"/>
      <w:pgMar w:top="720" w:right="720" w:bottom="540" w:left="72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AFC" w14:textId="77777777" w:rsidR="00C41DD8" w:rsidRDefault="00C41DD8" w:rsidP="00C41DD8">
      <w:r>
        <w:separator/>
      </w:r>
    </w:p>
  </w:endnote>
  <w:endnote w:type="continuationSeparator" w:id="0">
    <w:p w14:paraId="67ADDAE9" w14:textId="77777777" w:rsidR="00C41DD8" w:rsidRDefault="00C41DD8" w:rsidP="00C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Josefin Sans">
    <w:panose1 w:val="00000500000000000000"/>
    <w:charset w:val="00"/>
    <w:family w:val="auto"/>
    <w:pitch w:val="variable"/>
    <w:sig w:usb0="20000007" w:usb1="00000000" w:usb2="00000000" w:usb3="00000000" w:csb0="00000193" w:csb1="00000000"/>
  </w:font>
  <w:font w:name="ArialMT">
    <w:altName w:val="Klee One"/>
    <w:charset w:val="80"/>
    <w:family w:val="auto"/>
    <w:pitch w:val="default"/>
    <w:sig w:usb0="00000001" w:usb1="08070000" w:usb2="00000010" w:usb3="00000000" w:csb0="00020000"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C547" w14:textId="77777777" w:rsidR="00C41DD8" w:rsidRDefault="00C41DD8" w:rsidP="00C41DD8">
      <w:r>
        <w:separator/>
      </w:r>
    </w:p>
  </w:footnote>
  <w:footnote w:type="continuationSeparator" w:id="0">
    <w:p w14:paraId="50DA283B" w14:textId="77777777" w:rsidR="00C41DD8" w:rsidRDefault="00C41DD8" w:rsidP="00C4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68C3"/>
    <w:multiLevelType w:val="hybridMultilevel"/>
    <w:tmpl w:val="1D00DDC8"/>
    <w:lvl w:ilvl="0" w:tplc="EFEA9AB2">
      <w:start w:val="1"/>
      <w:numFmt w:val="decimal"/>
      <w:lvlText w:val="%1."/>
      <w:lvlJc w:val="left"/>
      <w:pPr>
        <w:ind w:left="841" w:hanging="361"/>
      </w:pPr>
      <w:rPr>
        <w:rFonts w:ascii="Arial Nova" w:hAnsi="Arial Nova" w:cs="Calibri" w:hint="default"/>
        <w:b w:val="0"/>
        <w:bCs w:val="0"/>
        <w:color w:val="auto"/>
        <w:sz w:val="22"/>
        <w:szCs w:val="22"/>
      </w:rPr>
    </w:lvl>
    <w:lvl w:ilvl="1" w:tplc="FFFFFFFF">
      <w:start w:val="1"/>
      <w:numFmt w:val="bullet"/>
      <w:lvlText w:val="•"/>
      <w:lvlJc w:val="left"/>
      <w:pPr>
        <w:ind w:left="1895" w:hanging="361"/>
      </w:pPr>
      <w:rPr>
        <w:rFonts w:hint="default"/>
      </w:rPr>
    </w:lvl>
    <w:lvl w:ilvl="2" w:tplc="FFFFFFFF">
      <w:start w:val="1"/>
      <w:numFmt w:val="bullet"/>
      <w:lvlText w:val="•"/>
      <w:lvlJc w:val="left"/>
      <w:pPr>
        <w:ind w:left="2949" w:hanging="361"/>
      </w:pPr>
      <w:rPr>
        <w:rFonts w:hint="default"/>
      </w:rPr>
    </w:lvl>
    <w:lvl w:ilvl="3" w:tplc="FFFFFFFF">
      <w:start w:val="1"/>
      <w:numFmt w:val="bullet"/>
      <w:lvlText w:val="•"/>
      <w:lvlJc w:val="left"/>
      <w:pPr>
        <w:ind w:left="4003" w:hanging="361"/>
      </w:pPr>
      <w:rPr>
        <w:rFonts w:hint="default"/>
      </w:rPr>
    </w:lvl>
    <w:lvl w:ilvl="4" w:tplc="FFFFFFFF">
      <w:start w:val="1"/>
      <w:numFmt w:val="bullet"/>
      <w:lvlText w:val="•"/>
      <w:lvlJc w:val="left"/>
      <w:pPr>
        <w:ind w:left="5057" w:hanging="361"/>
      </w:pPr>
      <w:rPr>
        <w:rFonts w:hint="default"/>
      </w:rPr>
    </w:lvl>
    <w:lvl w:ilvl="5" w:tplc="FFFFFFFF">
      <w:start w:val="1"/>
      <w:numFmt w:val="bullet"/>
      <w:lvlText w:val="•"/>
      <w:lvlJc w:val="left"/>
      <w:pPr>
        <w:ind w:left="6111" w:hanging="361"/>
      </w:pPr>
      <w:rPr>
        <w:rFonts w:hint="default"/>
      </w:rPr>
    </w:lvl>
    <w:lvl w:ilvl="6" w:tplc="FFFFFFFF">
      <w:start w:val="1"/>
      <w:numFmt w:val="bullet"/>
      <w:lvlText w:val="•"/>
      <w:lvlJc w:val="left"/>
      <w:pPr>
        <w:ind w:left="7165" w:hanging="361"/>
      </w:pPr>
      <w:rPr>
        <w:rFonts w:hint="default"/>
      </w:rPr>
    </w:lvl>
    <w:lvl w:ilvl="7" w:tplc="FFFFFFFF">
      <w:start w:val="1"/>
      <w:numFmt w:val="bullet"/>
      <w:lvlText w:val="•"/>
      <w:lvlJc w:val="left"/>
      <w:pPr>
        <w:ind w:left="8219" w:hanging="361"/>
      </w:pPr>
      <w:rPr>
        <w:rFonts w:hint="default"/>
      </w:rPr>
    </w:lvl>
    <w:lvl w:ilvl="8" w:tplc="FFFFFFFF">
      <w:start w:val="1"/>
      <w:numFmt w:val="bullet"/>
      <w:lvlText w:val="•"/>
      <w:lvlJc w:val="left"/>
      <w:pPr>
        <w:ind w:left="9274" w:hanging="361"/>
      </w:pPr>
      <w:rPr>
        <w:rFonts w:hint="default"/>
      </w:rPr>
    </w:lvl>
  </w:abstractNum>
  <w:abstractNum w:abstractNumId="1"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BA71866"/>
    <w:multiLevelType w:val="hybridMultilevel"/>
    <w:tmpl w:val="713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21"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22"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19"/>
  </w:num>
  <w:num w:numId="2" w16cid:durableId="529611241">
    <w:abstractNumId w:val="15"/>
  </w:num>
  <w:num w:numId="3" w16cid:durableId="1598559181">
    <w:abstractNumId w:val="16"/>
  </w:num>
  <w:num w:numId="4" w16cid:durableId="1692560826">
    <w:abstractNumId w:val="4"/>
  </w:num>
  <w:num w:numId="5" w16cid:durableId="1184441949">
    <w:abstractNumId w:val="8"/>
  </w:num>
  <w:num w:numId="6" w16cid:durableId="1669286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20"/>
  </w:num>
  <w:num w:numId="10" w16cid:durableId="1397053356">
    <w:abstractNumId w:val="3"/>
  </w:num>
  <w:num w:numId="11" w16cid:durableId="1415083467">
    <w:abstractNumId w:val="21"/>
  </w:num>
  <w:num w:numId="12" w16cid:durableId="1184317965">
    <w:abstractNumId w:val="7"/>
  </w:num>
  <w:num w:numId="13" w16cid:durableId="497229034">
    <w:abstractNumId w:val="11"/>
  </w:num>
  <w:num w:numId="14" w16cid:durableId="382217323">
    <w:abstractNumId w:val="13"/>
  </w:num>
  <w:num w:numId="15" w16cid:durableId="792943746">
    <w:abstractNumId w:val="22"/>
  </w:num>
  <w:num w:numId="16" w16cid:durableId="1580019000">
    <w:abstractNumId w:val="10"/>
  </w:num>
  <w:num w:numId="17" w16cid:durableId="23791936">
    <w:abstractNumId w:val="1"/>
  </w:num>
  <w:num w:numId="18" w16cid:durableId="185094518">
    <w:abstractNumId w:val="17"/>
  </w:num>
  <w:num w:numId="19" w16cid:durableId="369889532">
    <w:abstractNumId w:val="6"/>
  </w:num>
  <w:num w:numId="20" w16cid:durableId="890845354">
    <w:abstractNumId w:val="5"/>
  </w:num>
  <w:num w:numId="21" w16cid:durableId="1671251427">
    <w:abstractNumId w:val="12"/>
  </w:num>
  <w:num w:numId="22" w16cid:durableId="1074667001">
    <w:abstractNumId w:val="23"/>
  </w:num>
  <w:num w:numId="23" w16cid:durableId="633222575">
    <w:abstractNumId w:val="0"/>
  </w:num>
  <w:num w:numId="24" w16cid:durableId="1342708555">
    <w:abstractNumId w:val="2"/>
  </w:num>
  <w:num w:numId="25" w16cid:durableId="175312513">
    <w:abstractNumId w:val="18"/>
  </w:num>
  <w:num w:numId="26" w16cid:durableId="8128663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26A62"/>
    <w:rsid w:val="000279B6"/>
    <w:rsid w:val="000E351B"/>
    <w:rsid w:val="00175121"/>
    <w:rsid w:val="001E7149"/>
    <w:rsid w:val="0022434D"/>
    <w:rsid w:val="002305E7"/>
    <w:rsid w:val="0030081F"/>
    <w:rsid w:val="00350816"/>
    <w:rsid w:val="00362F1A"/>
    <w:rsid w:val="004704FC"/>
    <w:rsid w:val="004A3E18"/>
    <w:rsid w:val="00510286"/>
    <w:rsid w:val="00557A94"/>
    <w:rsid w:val="00576672"/>
    <w:rsid w:val="005E179C"/>
    <w:rsid w:val="006041D3"/>
    <w:rsid w:val="00654CD4"/>
    <w:rsid w:val="006C4115"/>
    <w:rsid w:val="007704B7"/>
    <w:rsid w:val="00780E60"/>
    <w:rsid w:val="007B2045"/>
    <w:rsid w:val="00806EB7"/>
    <w:rsid w:val="00835CD0"/>
    <w:rsid w:val="008A56A5"/>
    <w:rsid w:val="008B28AB"/>
    <w:rsid w:val="008E0594"/>
    <w:rsid w:val="0093423B"/>
    <w:rsid w:val="009B6B1F"/>
    <w:rsid w:val="00A2570D"/>
    <w:rsid w:val="00A51985"/>
    <w:rsid w:val="00A545D2"/>
    <w:rsid w:val="00A8318A"/>
    <w:rsid w:val="00A9722D"/>
    <w:rsid w:val="00A976BE"/>
    <w:rsid w:val="00AD4646"/>
    <w:rsid w:val="00B870EB"/>
    <w:rsid w:val="00BD246F"/>
    <w:rsid w:val="00C41DD8"/>
    <w:rsid w:val="00C6660D"/>
    <w:rsid w:val="00CD04A3"/>
    <w:rsid w:val="00CE7B05"/>
    <w:rsid w:val="00D0461D"/>
    <w:rsid w:val="00D055E1"/>
    <w:rsid w:val="00D60C69"/>
    <w:rsid w:val="00D8301F"/>
    <w:rsid w:val="00DC05FC"/>
    <w:rsid w:val="00E0332C"/>
    <w:rsid w:val="00E961EC"/>
    <w:rsid w:val="00EC0D28"/>
    <w:rsid w:val="00F42DC6"/>
    <w:rsid w:val="00FB53F1"/>
    <w:rsid w:val="00FC69B8"/>
    <w:rsid w:val="00FD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7704B7"/>
    <w:pPr>
      <w:ind w:left="1876" w:hanging="361"/>
    </w:p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F5496" w:themeColor="accent1" w:themeShade="BF"/>
      <w:sz w:val="26"/>
      <w:szCs w:val="26"/>
      <w:lang w:bidi="en-US"/>
    </w:rPr>
  </w:style>
  <w:style w:type="paragraph" w:styleId="Footer">
    <w:name w:val="footer"/>
    <w:basedOn w:val="Normal"/>
    <w:link w:val="FooterChar"/>
    <w:uiPriority w:val="99"/>
    <w:unhideWhenUsed/>
    <w:rsid w:val="00C41DD8"/>
    <w:pPr>
      <w:tabs>
        <w:tab w:val="center" w:pos="4680"/>
        <w:tab w:val="right" w:pos="9360"/>
      </w:tabs>
    </w:pPr>
  </w:style>
  <w:style w:type="character" w:customStyle="1" w:styleId="FooterChar">
    <w:name w:val="Footer Char"/>
    <w:basedOn w:val="DefaultParagraphFont"/>
    <w:link w:val="Footer"/>
    <w:uiPriority w:val="99"/>
    <w:rsid w:val="00C41DD8"/>
    <w:rPr>
      <w:rFonts w:ascii="Calibri" w:eastAsia="Calibri" w:hAnsi="Calibri" w:cs="Calibri"/>
      <w:lang w:bidi="en-US"/>
    </w:rPr>
  </w:style>
  <w:style w:type="paragraph" w:styleId="Header">
    <w:name w:val="header"/>
    <w:basedOn w:val="Normal"/>
    <w:link w:val="HeaderChar"/>
    <w:uiPriority w:val="99"/>
    <w:unhideWhenUsed/>
    <w:rsid w:val="00C41DD8"/>
    <w:pPr>
      <w:tabs>
        <w:tab w:val="center" w:pos="4680"/>
        <w:tab w:val="right" w:pos="9360"/>
      </w:tabs>
    </w:pPr>
  </w:style>
  <w:style w:type="character" w:customStyle="1" w:styleId="HeaderChar">
    <w:name w:val="Header Char"/>
    <w:basedOn w:val="DefaultParagraphFont"/>
    <w:link w:val="Header"/>
    <w:uiPriority w:val="99"/>
    <w:rsid w:val="00C41DD8"/>
    <w:rPr>
      <w:rFonts w:ascii="Calibri" w:eastAsia="Calibri" w:hAnsi="Calibri" w:cs="Calibri"/>
      <w:lang w:bidi="en-US"/>
    </w:rPr>
  </w:style>
  <w:style w:type="character" w:styleId="Hyperlink">
    <w:name w:val="Hyperlink"/>
    <w:basedOn w:val="DefaultParagraphFont"/>
    <w:uiPriority w:val="99"/>
    <w:unhideWhenUsed/>
    <w:rsid w:val="00FD6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2174562844705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jotform.com/221745628447059"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2022-07-11T18:45:00Z</cp:lastPrinted>
  <dcterms:created xsi:type="dcterms:W3CDTF">2022-07-11T18:45:00Z</dcterms:created>
  <dcterms:modified xsi:type="dcterms:W3CDTF">2022-07-11T18:46:00Z</dcterms:modified>
</cp:coreProperties>
</file>